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8522" w:type="dxa"/>
            <w:tcBorders>
              <w:bottom w:val="single" w:color="4F81BD" w:sz="4" w:space="0"/>
            </w:tcBorders>
            <w:vAlign w:val="center"/>
          </w:tcPr>
          <w:p>
            <w:pPr>
              <w:pStyle w:val="12"/>
              <w:jc w:val="center"/>
              <w:rPr>
                <w:rFonts w:ascii="黑体" w:hAnsi="黑体" w:eastAsia="黑体"/>
                <w:b/>
                <w:sz w:val="80"/>
                <w:szCs w:val="80"/>
              </w:rPr>
            </w:pPr>
            <w:r>
              <w:rPr>
                <w:rFonts w:hint="eastAsia" w:ascii="黑体" w:hAnsi="黑体" w:eastAsia="黑体"/>
                <w:b/>
                <w:sz w:val="160"/>
                <w:szCs w:val="80"/>
              </w:rPr>
              <w:t>招聘简章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522" w:type="dxa"/>
            <w:tcBorders>
              <w:top w:val="single" w:color="4F81BD" w:sz="4" w:space="0"/>
            </w:tcBorders>
            <w:vAlign w:val="center"/>
          </w:tcPr>
          <w:p>
            <w:pPr>
              <w:pStyle w:val="12"/>
              <w:jc w:val="center"/>
              <w:rPr>
                <w:rFonts w:ascii="华文楷体" w:hAnsi="华文楷体" w:eastAsia="华文楷体"/>
                <w:sz w:val="44"/>
                <w:szCs w:val="44"/>
              </w:rPr>
            </w:pPr>
            <w:r>
              <w:rPr>
                <w:rFonts w:hint="eastAsia" w:ascii="华文楷体" w:hAnsi="华文楷体" w:eastAsia="华文楷体"/>
                <w:sz w:val="44"/>
                <w:szCs w:val="44"/>
              </w:rPr>
              <w:t>北京指南针科技发展股份有限公司</w:t>
            </w:r>
          </w:p>
          <w:p>
            <w:pPr>
              <w:pStyle w:val="12"/>
              <w:jc w:val="center"/>
              <w:rPr>
                <w:rFonts w:ascii="华文楷体" w:hAnsi="华文楷体" w:eastAsia="华文楷体"/>
                <w:sz w:val="30"/>
                <w:szCs w:val="30"/>
              </w:rPr>
            </w:pPr>
            <w:r>
              <w:rPr>
                <w:rFonts w:ascii="华文楷体" w:hAnsi="华文楷体" w:eastAsia="华文楷体"/>
                <w:sz w:val="30"/>
                <w:szCs w:val="30"/>
              </w:rPr>
              <w:t xml:space="preserve"> 大型互联网券商上市公司</w:t>
            </w:r>
            <w:r>
              <w:rPr>
                <w:rFonts w:hint="eastAsia" w:ascii="华文楷体" w:hAnsi="华文楷体" w:eastAsia="华文楷体"/>
                <w:sz w:val="44"/>
                <w:szCs w:val="44"/>
              </w:rPr>
              <w:t xml:space="preserve"> </w:t>
            </w:r>
            <w:r>
              <w:rPr>
                <w:rFonts w:ascii="华文楷体" w:hAnsi="华文楷体" w:eastAsia="华文楷体"/>
                <w:sz w:val="30"/>
                <w:szCs w:val="30"/>
              </w:rPr>
              <w:t>股票代码：</w:t>
            </w:r>
            <w:r>
              <w:rPr>
                <w:rFonts w:hint="eastAsia" w:ascii="华文楷体" w:hAnsi="华文楷体" w:eastAsia="华文楷体"/>
                <w:sz w:val="30"/>
                <w:szCs w:val="30"/>
              </w:rPr>
              <w:t>3</w:t>
            </w:r>
            <w:r>
              <w:rPr>
                <w:rFonts w:ascii="华文楷体" w:hAnsi="华文楷体" w:eastAsia="华文楷体"/>
                <w:sz w:val="30"/>
                <w:szCs w:val="30"/>
              </w:rPr>
              <w:t>00803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522" w:type="dxa"/>
            <w:vAlign w:val="center"/>
          </w:tcPr>
          <w:p>
            <w:pPr>
              <w:pStyle w:val="12"/>
              <w:jc w:val="center"/>
              <w:rPr>
                <w:b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522" w:type="dxa"/>
            <w:vAlign w:val="center"/>
          </w:tcPr>
          <w:p>
            <w:pPr>
              <w:pStyle w:val="12"/>
              <w:rPr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522" w:type="dxa"/>
            <w:vAlign w:val="center"/>
          </w:tcPr>
          <w:p>
            <w:pPr>
              <w:pStyle w:val="12"/>
              <w:jc w:val="center"/>
              <w:rPr>
                <w:b/>
                <w:bCs/>
              </w:rPr>
            </w:pPr>
          </w:p>
        </w:tc>
      </w:tr>
    </w:tbl>
    <w:p/>
    <w:p/>
    <w:p>
      <w:pPr>
        <w:widowControl/>
        <w:jc w:val="left"/>
        <w:rPr>
          <w:sz w:val="30"/>
          <w:szCs w:val="30"/>
        </w:rPr>
      </w:pPr>
    </w:p>
    <w:tbl>
      <w:tblPr>
        <w:tblStyle w:val="4"/>
        <w:tblpPr w:leftFromText="187" w:rightFromText="187" w:vertAnchor="page" w:horzAnchor="margin" w:tblpXSpec="center" w:tblpY="1075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c>
          <w:tcPr>
            <w:tcW w:w="8522" w:type="dxa"/>
          </w:tcPr>
          <w:p>
            <w:pPr>
              <w:pStyle w:val="12"/>
              <w:jc w:val="center"/>
            </w:pPr>
            <w:r>
              <w:drawing>
                <wp:inline distT="0" distB="0" distL="0" distR="0">
                  <wp:extent cx="2009775" cy="2295525"/>
                  <wp:effectExtent l="0" t="0" r="0" b="0"/>
                  <wp:docPr id="1" name="图片 1" descr="logo-指南针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ogo-指南针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  <w:rPr>
          <w:rFonts w:ascii="宋体" w:hAnsi="宋体" w:cs="Courier New"/>
          <w:bCs/>
          <w:kern w:val="0"/>
          <w:sz w:val="24"/>
          <w:szCs w:val="24"/>
        </w:rPr>
        <w:sectPr>
          <w:headerReference r:id="rId3" w:type="default"/>
          <w:footerReference r:id="rId4" w:type="default"/>
          <w:pgSz w:w="11906" w:h="16838"/>
          <w:pgMar w:top="1440" w:right="1077" w:bottom="1440" w:left="1077" w:header="794" w:footer="992" w:gutter="0"/>
          <w:cols w:space="425" w:num="1"/>
          <w:titlePg/>
          <w:docGrid w:type="lines" w:linePitch="312" w:charSpace="0"/>
        </w:sectPr>
      </w:pPr>
    </w:p>
    <w:p>
      <w:pPr>
        <w:spacing w:line="360" w:lineRule="auto"/>
        <w:ind w:firstLine="480" w:firstLineChars="200"/>
        <w:rPr>
          <w:rFonts w:ascii="宋体" w:hAnsi="宋体" w:cs="Courier New"/>
          <w:bCs/>
          <w:kern w:val="0"/>
          <w:sz w:val="24"/>
          <w:szCs w:val="24"/>
        </w:rPr>
      </w:pPr>
      <w:r>
        <w:rPr>
          <w:rFonts w:ascii="宋体" w:hAnsi="宋体" w:cs="Courier New"/>
          <w:bCs/>
          <w:kern w:val="0"/>
          <w:sz w:val="24"/>
          <w:szCs w:val="24"/>
        </w:rPr>
        <w:t>指南针自上市以来，一直重视人才培养战略，本年度计划在贵校招聘30名应届毕业生（实习生），列为公司人才梯队培养对象，表现突出者，优先选拔为储备干部。</w:t>
      </w:r>
    </w:p>
    <w:p>
      <w:pPr>
        <w:spacing w:line="360" w:lineRule="auto"/>
        <w:rPr>
          <w:rFonts w:ascii="黑体" w:hAnsi="黑体" w:eastAsia="黑体"/>
          <w:color w:val="FF0000"/>
          <w:sz w:val="28"/>
          <w:szCs w:val="28"/>
        </w:rPr>
      </w:pPr>
      <w:r>
        <w:rPr>
          <w:rFonts w:ascii="黑体" w:hAnsi="黑体" w:eastAsia="黑体"/>
          <w:color w:val="FF0000"/>
          <w:sz w:val="28"/>
          <w:szCs w:val="28"/>
        </w:rPr>
        <w:t>【专业要求】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金融学，经济学，会计，电子商务，市场营销，计算机，工商管理等专业。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b/>
          <w:sz w:val="24"/>
        </w:rPr>
        <w:t>（具备证券从业资格能力者优先，入职公司且登记为一般证券从业人员后奖励1</w:t>
      </w:r>
      <w:r>
        <w:rPr>
          <w:b/>
          <w:sz w:val="24"/>
        </w:rPr>
        <w:t>000元</w:t>
      </w:r>
      <w:r>
        <w:rPr>
          <w:rFonts w:hint="eastAsia"/>
          <w:b/>
          <w:sz w:val="24"/>
        </w:rPr>
        <w:t>）</w:t>
      </w:r>
    </w:p>
    <w:p>
      <w:pPr>
        <w:spacing w:line="360" w:lineRule="auto"/>
        <w:rPr>
          <w:rFonts w:ascii="黑体" w:hAnsi="黑体" w:eastAsia="黑体"/>
          <w:color w:val="FF0000"/>
          <w:sz w:val="28"/>
          <w:szCs w:val="28"/>
        </w:rPr>
      </w:pPr>
      <w:r>
        <w:rPr>
          <w:rFonts w:ascii="黑体" w:hAnsi="黑体" w:eastAsia="黑体"/>
          <w:color w:val="FF0000"/>
          <w:sz w:val="28"/>
          <w:szCs w:val="28"/>
        </w:rPr>
        <w:t>【岗位要求】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☑</w:t>
      </w:r>
      <w:r>
        <w:rPr>
          <w:rFonts w:hint="eastAsia"/>
          <w:sz w:val="24"/>
          <w:szCs w:val="24"/>
        </w:rPr>
        <w:t>应届生优先</w:t>
      </w:r>
      <w:r>
        <w:rPr>
          <w:sz w:val="24"/>
          <w:szCs w:val="24"/>
        </w:rPr>
        <w:t>，性别不限，本科及以上学历。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☑</w:t>
      </w:r>
      <w:r>
        <w:rPr>
          <w:rFonts w:hint="eastAsia"/>
          <w:sz w:val="24"/>
          <w:szCs w:val="24"/>
        </w:rPr>
        <w:t>具有积极进取的精神，较强的学习能力，且有较好的沟通能力和较强的承压能力。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☑</w:t>
      </w:r>
      <w:r>
        <w:rPr>
          <w:rFonts w:hint="eastAsia"/>
          <w:sz w:val="24"/>
          <w:szCs w:val="24"/>
        </w:rPr>
        <w:t>敢于挑战，不甘平凡，有上进心，愿意在</w:t>
      </w:r>
      <w:r>
        <w:rPr>
          <w:sz w:val="24"/>
          <w:szCs w:val="24"/>
        </w:rPr>
        <w:t>金融、营销领域成长发展。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☑</w:t>
      </w:r>
      <w:r>
        <w:rPr>
          <w:rFonts w:hint="eastAsia"/>
          <w:sz w:val="24"/>
          <w:szCs w:val="24"/>
        </w:rPr>
        <w:t>身体健康，无不良嗜好，无明显纹身，无犯罪记录。</w:t>
      </w:r>
    </w:p>
    <w:p>
      <w:pPr>
        <w:spacing w:line="360" w:lineRule="auto"/>
        <w:rPr>
          <w:rFonts w:ascii="黑体" w:hAnsi="黑体" w:eastAsia="黑体"/>
          <w:color w:val="FF0000"/>
          <w:sz w:val="28"/>
          <w:szCs w:val="28"/>
        </w:rPr>
      </w:pPr>
      <w:r>
        <w:rPr>
          <w:rFonts w:ascii="黑体" w:hAnsi="黑体" w:eastAsia="黑体"/>
          <w:color w:val="FF0000"/>
          <w:sz w:val="28"/>
          <w:szCs w:val="28"/>
        </w:rPr>
        <w:t>【薪资待遇】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高底薪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520元（基本工资</w:t>
      </w:r>
      <w:r>
        <w:rPr>
          <w:rFonts w:hint="eastAsia"/>
          <w:sz w:val="24"/>
          <w:szCs w:val="24"/>
        </w:rPr>
        <w:t>+绩效津贴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+高提成（6%</w:t>
      </w:r>
      <w:r>
        <w:rPr>
          <w:sz w:val="24"/>
          <w:szCs w:val="24"/>
        </w:rPr>
        <w:t>-12%</w:t>
      </w:r>
      <w:r>
        <w:rPr>
          <w:rFonts w:hint="eastAsia"/>
          <w:sz w:val="24"/>
          <w:szCs w:val="24"/>
        </w:rPr>
        <w:t>）+职称津贴+各项奖金及补助</w:t>
      </w:r>
    </w:p>
    <w:p>
      <w:pPr>
        <w:spacing w:line="360" w:lineRule="auto"/>
        <w:rPr>
          <w:rFonts w:ascii="黑体" w:hAnsi="黑体" w:eastAsia="黑体"/>
          <w:color w:val="FF0000"/>
          <w:sz w:val="28"/>
          <w:szCs w:val="28"/>
        </w:rPr>
      </w:pPr>
      <w:r>
        <w:rPr>
          <w:rFonts w:hint="eastAsia" w:ascii="黑体" w:hAnsi="黑体" w:eastAsia="黑体"/>
          <w:color w:val="FF0000"/>
          <w:sz w:val="28"/>
          <w:szCs w:val="28"/>
        </w:rPr>
        <w:t>【其他福利】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♥</w:t>
      </w:r>
      <w:r>
        <w:rPr>
          <w:sz w:val="24"/>
          <w:szCs w:val="24"/>
        </w:rPr>
        <w:t>在职学历提升（双学位，在职研究生）</w:t>
      </w:r>
      <w:r>
        <w:rPr>
          <w:rFonts w:hint="eastAsia"/>
          <w:sz w:val="24"/>
          <w:szCs w:val="24"/>
        </w:rPr>
        <w:t>+职业证书培训</w:t>
      </w:r>
      <w:r>
        <w:rPr>
          <w:sz w:val="24"/>
          <w:szCs w:val="24"/>
        </w:rPr>
        <w:t>。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♥</w:t>
      </w:r>
      <w:r>
        <w:rPr>
          <w:sz w:val="24"/>
          <w:szCs w:val="24"/>
        </w:rPr>
        <w:t>实习期有意外险，实习结束后</w:t>
      </w:r>
      <w:r>
        <w:rPr>
          <w:rFonts w:hint="eastAsia"/>
          <w:sz w:val="24"/>
          <w:szCs w:val="24"/>
        </w:rPr>
        <w:t>每位员工有五险一金。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♥</w:t>
      </w:r>
      <w:r>
        <w:rPr>
          <w:rFonts w:hint="eastAsia"/>
          <w:sz w:val="24"/>
          <w:szCs w:val="24"/>
        </w:rPr>
        <w:t>享受法定节假日休息，休息天数只多不少。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♥</w:t>
      </w:r>
      <w:r>
        <w:rPr>
          <w:sz w:val="24"/>
          <w:szCs w:val="24"/>
        </w:rPr>
        <w:t>节假日礼品、团体生日会。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♥</w:t>
      </w:r>
      <w:r>
        <w:rPr>
          <w:rFonts w:hint="eastAsia"/>
          <w:sz w:val="24"/>
          <w:szCs w:val="24"/>
        </w:rPr>
        <w:t>公司为学生提供</w:t>
      </w:r>
      <w:r>
        <w:rPr>
          <w:rFonts w:hint="eastAsia"/>
          <w:color w:val="FF0000"/>
          <w:sz w:val="30"/>
          <w:szCs w:val="30"/>
          <w:bdr w:val="single" w:color="auto" w:sz="4" w:space="0"/>
        </w:rPr>
        <w:t>员工宿舍</w:t>
      </w:r>
      <w:r>
        <w:rPr>
          <w:rFonts w:hint="eastAsia"/>
          <w:sz w:val="24"/>
          <w:szCs w:val="24"/>
        </w:rPr>
        <w:t>，宿舍到公司走路5分钟的距离，集中管理。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♥</w:t>
      </w:r>
      <w:r>
        <w:rPr>
          <w:rFonts w:hint="eastAsia"/>
          <w:sz w:val="24"/>
          <w:szCs w:val="24"/>
        </w:rPr>
        <w:t>每年公司组织全面体检。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♥</w:t>
      </w:r>
      <w:r>
        <w:rPr>
          <w:sz w:val="24"/>
          <w:szCs w:val="24"/>
        </w:rPr>
        <w:t>优秀员工免费国内国外游，</w:t>
      </w:r>
      <w:r>
        <w:rPr>
          <w:rFonts w:hint="eastAsia"/>
          <w:sz w:val="24"/>
          <w:szCs w:val="24"/>
        </w:rPr>
        <w:t>年末给父母的孝心金（2</w:t>
      </w:r>
      <w:r>
        <w:rPr>
          <w:sz w:val="24"/>
          <w:szCs w:val="24"/>
        </w:rPr>
        <w:t>00元-2000元</w:t>
      </w:r>
      <w:r>
        <w:rPr>
          <w:rFonts w:hint="eastAsia"/>
          <w:sz w:val="24"/>
          <w:szCs w:val="24"/>
        </w:rPr>
        <w:t>）。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♥</w:t>
      </w:r>
      <w:r>
        <w:rPr>
          <w:rFonts w:hint="eastAsia"/>
          <w:sz w:val="24"/>
          <w:szCs w:val="24"/>
        </w:rPr>
        <w:t>根据工作表现、业绩情况发放</w:t>
      </w:r>
      <w:r>
        <w:rPr>
          <w:sz w:val="24"/>
          <w:szCs w:val="24"/>
        </w:rPr>
        <w:t>任务奖励（金条、现金、大家电、生活用品、数码产品等）。</w:t>
      </w:r>
    </w:p>
    <w:p>
      <w:pPr>
        <w:spacing w:line="360" w:lineRule="auto"/>
        <w:rPr>
          <w:sz w:val="24"/>
          <w:szCs w:val="24"/>
        </w:rPr>
      </w:pPr>
      <w:bookmarkStart w:id="0" w:name="_Hlk51940606"/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♥</w:t>
      </w:r>
      <w:bookmarkEnd w:id="0"/>
      <w:r>
        <w:rPr>
          <w:sz w:val="24"/>
          <w:szCs w:val="24"/>
        </w:rPr>
        <w:t>优秀员工</w:t>
      </w:r>
      <w:r>
        <w:rPr>
          <w:b/>
          <w:color w:val="FF0000"/>
          <w:sz w:val="24"/>
          <w:szCs w:val="24"/>
        </w:rPr>
        <w:t>股权激励</w:t>
      </w:r>
      <w:r>
        <w:rPr>
          <w:sz w:val="24"/>
          <w:szCs w:val="24"/>
        </w:rPr>
        <w:t>。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♥</w:t>
      </w:r>
      <w:r>
        <w:rPr>
          <w:sz w:val="24"/>
          <w:szCs w:val="24"/>
        </w:rPr>
        <w:t>办理北京工作居住证，实现积分落户，接收团</w:t>
      </w:r>
      <w:r>
        <w:rPr>
          <w:rFonts w:hint="eastAsia"/>
          <w:sz w:val="24"/>
          <w:szCs w:val="24"/>
        </w:rPr>
        <w:t>/党组织关系</w:t>
      </w:r>
      <w:r>
        <w:rPr>
          <w:sz w:val="24"/>
          <w:szCs w:val="24"/>
        </w:rPr>
        <w:t>。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tbl>
      <w:tblPr>
        <w:tblStyle w:val="4"/>
        <w:tblW w:w="100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6"/>
        <w:gridCol w:w="284"/>
        <w:gridCol w:w="4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6" w:type="dxa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FF0000"/>
                <w:sz w:val="28"/>
                <w:szCs w:val="28"/>
              </w:rPr>
              <w:t>【招聘岗位1】</w:t>
            </w:r>
          </w:p>
        </w:tc>
        <w:tc>
          <w:tcPr>
            <w:tcW w:w="2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360" w:lineRule="auto"/>
              <w:rPr>
                <w:rFonts w:ascii="黑体" w:hAnsi="黑体" w:eastAsia="黑体"/>
                <w:color w:val="FF0000"/>
                <w:sz w:val="28"/>
                <w:szCs w:val="28"/>
              </w:rPr>
            </w:pPr>
          </w:p>
        </w:tc>
        <w:tc>
          <w:tcPr>
            <w:tcW w:w="4876" w:type="dxa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rPr>
                <w:rFonts w:ascii="黑体" w:hAnsi="黑体" w:eastAsia="黑体"/>
                <w:color w:val="FF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FF0000"/>
                <w:sz w:val="28"/>
                <w:szCs w:val="28"/>
              </w:rPr>
              <w:t>【招聘岗位2】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6" w:type="dxa"/>
            <w:tcBorders>
              <w:right w:val="single" w:color="auto" w:sz="4" w:space="0"/>
            </w:tcBorders>
            <w:shd w:val="clear" w:color="auto" w:fill="E2EFD9" w:themeFill="accent6" w:themeFillTint="33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客户顾问</w:t>
            </w:r>
          </w:p>
        </w:tc>
        <w:tc>
          <w:tcPr>
            <w:tcW w:w="2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76" w:type="dxa"/>
            <w:tcBorders>
              <w:left w:val="single" w:color="auto" w:sz="4" w:space="0"/>
            </w:tcBorders>
            <w:shd w:val="clear" w:color="auto" w:fill="E2EFD9" w:themeFill="accent6" w:themeFillTint="33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实习培训生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6" w:type="dxa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FF0000"/>
                <w:sz w:val="28"/>
                <w:szCs w:val="28"/>
              </w:rPr>
              <w:t>【岗位职责】</w:t>
            </w:r>
          </w:p>
        </w:tc>
        <w:tc>
          <w:tcPr>
            <w:tcW w:w="2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76" w:type="dxa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FF0000"/>
                <w:sz w:val="28"/>
                <w:szCs w:val="28"/>
              </w:rPr>
              <w:t>【岗位职责】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6" w:type="dxa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1、负责公司提供的新客户的拓展，完成免费客户向付费客户的转换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2、负责存量客户的维护工作，完成客户服务升级及证券开户业务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3、负责向客户提供与证券经纪业务相关的服务工作</w:t>
            </w:r>
          </w:p>
        </w:tc>
        <w:tc>
          <w:tcPr>
            <w:tcW w:w="2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76" w:type="dxa"/>
            <w:tcBorders>
              <w:lef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1、负责互联网渠道客户的联络和维护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2、完成免费用户向付费用户的转换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3、负责存量客户的维护以及服务升级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4、参加公司各类业务学习与培训</w:t>
            </w:r>
          </w:p>
        </w:tc>
      </w:tr>
    </w:tbl>
    <w:p>
      <w:pPr>
        <w:spacing w:line="360" w:lineRule="auto"/>
        <w:rPr>
          <w:rFonts w:ascii="黑体" w:hAnsi="黑体" w:eastAsia="黑体"/>
          <w:color w:val="FF0000"/>
          <w:sz w:val="28"/>
          <w:szCs w:val="28"/>
        </w:rPr>
      </w:pPr>
      <w:r>
        <w:rPr>
          <w:rFonts w:hint="eastAsia" w:ascii="黑体" w:hAnsi="黑体" w:eastAsia="黑体"/>
          <w:color w:val="FF0000"/>
          <w:sz w:val="28"/>
          <w:szCs w:val="28"/>
        </w:rPr>
        <w:t>【培训机制】</w:t>
      </w:r>
    </w:p>
    <w:p>
      <w:pPr>
        <w:spacing w:line="360" w:lineRule="auto"/>
        <w:rPr>
          <w:sz w:val="24"/>
          <w:szCs w:val="24"/>
        </w:rPr>
      </w:pPr>
      <w:r>
        <w:rPr>
          <w:rFonts w:ascii="MS Mincho" w:hAnsi="MS Mincho" w:cs="MS Mincho"/>
          <w:color w:val="000000"/>
          <w:spacing w:val="75"/>
          <w:sz w:val="30"/>
          <w:szCs w:val="30"/>
          <w:shd w:val="clear" w:color="auto" w:fill="FFFFFF"/>
        </w:rPr>
        <w:t>▶</w:t>
      </w:r>
      <w:r>
        <w:rPr>
          <w:rFonts w:hint="eastAsia"/>
          <w:sz w:val="24"/>
          <w:szCs w:val="24"/>
        </w:rPr>
        <w:t>四天岗前培训</w:t>
      </w:r>
      <w:r>
        <w:rPr>
          <w:sz w:val="24"/>
          <w:szCs w:val="24"/>
        </w:rPr>
        <w:t>------了解公司概况，知晓公司业务体系，掌握基本的客户沟通技巧和业务流程，树立积极向上的心态。</w:t>
      </w:r>
    </w:p>
    <w:p>
      <w:pPr>
        <w:spacing w:line="360" w:lineRule="auto"/>
        <w:rPr>
          <w:sz w:val="24"/>
          <w:szCs w:val="24"/>
        </w:rPr>
      </w:pPr>
      <w:r>
        <w:rPr>
          <w:rFonts w:ascii="MS Mincho" w:hAnsi="MS Mincho" w:cs="MS Mincho"/>
          <w:color w:val="000000"/>
          <w:spacing w:val="75"/>
          <w:sz w:val="30"/>
          <w:szCs w:val="30"/>
          <w:shd w:val="clear" w:color="auto" w:fill="FFFFFF"/>
        </w:rPr>
        <w:t>▶</w:t>
      </w:r>
      <w:r>
        <w:rPr>
          <w:sz w:val="24"/>
          <w:szCs w:val="24"/>
        </w:rPr>
        <w:t>一个月在岗培训------分阶段由浅入深系统地培训业务的完整流程，掌握初级产品的销售技巧，使之具备初级销售的能力。</w:t>
      </w:r>
    </w:p>
    <w:p>
      <w:pPr>
        <w:spacing w:line="360" w:lineRule="auto"/>
        <w:rPr>
          <w:sz w:val="24"/>
          <w:szCs w:val="24"/>
        </w:rPr>
      </w:pPr>
      <w:r>
        <w:rPr>
          <w:rFonts w:ascii="MS Mincho" w:hAnsi="MS Mincho" w:cs="MS Mincho"/>
          <w:color w:val="000000"/>
          <w:spacing w:val="75"/>
          <w:sz w:val="30"/>
          <w:szCs w:val="30"/>
          <w:shd w:val="clear" w:color="auto" w:fill="FFFFFF"/>
        </w:rPr>
        <w:t>▶</w:t>
      </w:r>
      <w:r>
        <w:rPr>
          <w:sz w:val="24"/>
          <w:szCs w:val="24"/>
        </w:rPr>
        <w:t>每两月一次的针对性培训------针对不同业务期的特点，有针对性的做产品和工作技能、服务意识的培训，挖优秀员工的亮点，补落后员工的短板，使之具备高级客户顾问的能力。</w:t>
      </w:r>
    </w:p>
    <w:p>
      <w:pPr>
        <w:spacing w:line="360" w:lineRule="auto"/>
        <w:rPr>
          <w:sz w:val="24"/>
          <w:szCs w:val="24"/>
        </w:rPr>
      </w:pPr>
      <w:r>
        <w:rPr>
          <w:rFonts w:ascii="MS Mincho" w:hAnsi="MS Mincho" w:cs="MS Mincho"/>
          <w:color w:val="000000"/>
          <w:spacing w:val="75"/>
          <w:sz w:val="30"/>
          <w:szCs w:val="30"/>
          <w:shd w:val="clear" w:color="auto" w:fill="FFFFFF"/>
        </w:rPr>
        <w:t>▶</w:t>
      </w:r>
      <w:r>
        <w:rPr>
          <w:rFonts w:hint="eastAsia"/>
          <w:sz w:val="24"/>
          <w:szCs w:val="24"/>
        </w:rPr>
        <w:t>证券从业资格考试培训</w:t>
      </w:r>
      <w:r>
        <w:rPr>
          <w:sz w:val="24"/>
          <w:szCs w:val="24"/>
        </w:rPr>
        <w:t>------名师讲课，老师答疑，错题解析，专业刷题</w:t>
      </w:r>
      <w:r>
        <w:rPr>
          <w:rFonts w:hint="eastAsia"/>
          <w:sz w:val="24"/>
          <w:szCs w:val="24"/>
        </w:rPr>
        <w:t>A</w:t>
      </w:r>
      <w:r>
        <w:rPr>
          <w:sz w:val="24"/>
          <w:szCs w:val="24"/>
        </w:rPr>
        <w:t>PP，更有大数据进行过程指标把控，帮忙新人考取证券从业资格证。</w:t>
      </w:r>
    </w:p>
    <w:p>
      <w:pPr>
        <w:spacing w:line="360" w:lineRule="auto"/>
        <w:rPr>
          <w:rFonts w:ascii="黑体" w:hAnsi="黑体" w:eastAsia="黑体"/>
          <w:color w:val="FF0000"/>
          <w:sz w:val="28"/>
          <w:szCs w:val="28"/>
        </w:rPr>
      </w:pPr>
      <w:r>
        <w:rPr>
          <w:rFonts w:ascii="MS Mincho" w:hAnsi="MS Mincho" w:cs="MS Mincho"/>
          <w:color w:val="000000"/>
          <w:spacing w:val="75"/>
          <w:sz w:val="30"/>
          <w:szCs w:val="30"/>
          <w:shd w:val="clear" w:color="auto" w:fill="FFFFFF"/>
        </w:rPr>
        <w:t>▶</w:t>
      </w:r>
      <w:r>
        <w:rPr>
          <w:sz w:val="24"/>
          <w:szCs w:val="24"/>
        </w:rPr>
        <w:t>金融市场专业知识培训</w:t>
      </w:r>
      <w:r>
        <w:rPr>
          <w:rFonts w:hint="eastAsia"/>
          <w:sz w:val="24"/>
          <w:szCs w:val="24"/>
        </w:rPr>
        <w:t>-</w:t>
      </w:r>
      <w:r>
        <w:rPr>
          <w:sz w:val="24"/>
          <w:szCs w:val="24"/>
        </w:rPr>
        <w:t>-----行业内机构大佬、私募牛人不定期来司介绍行业发展动态，培训最新投资方法。</w:t>
      </w:r>
    </w:p>
    <w:p>
      <w:pPr>
        <w:spacing w:line="360" w:lineRule="auto"/>
        <w:rPr>
          <w:rFonts w:ascii="黑体" w:hAnsi="黑体" w:eastAsia="黑体"/>
          <w:color w:val="FF0000"/>
          <w:sz w:val="28"/>
          <w:szCs w:val="28"/>
        </w:rPr>
      </w:pPr>
      <w:r>
        <w:rPr>
          <w:rFonts w:ascii="黑体" w:hAnsi="黑体" w:eastAsia="黑体"/>
          <w:color w:val="FF0000"/>
          <w:sz w:val="28"/>
          <w:szCs w:val="28"/>
        </w:rPr>
        <w:t>【职业规划】</w:t>
      </w:r>
    </w:p>
    <w:p>
      <w:pPr>
        <w:spacing w:line="360" w:lineRule="auto"/>
        <w:rPr>
          <w:sz w:val="24"/>
          <w:szCs w:val="24"/>
        </w:rPr>
      </w:pPr>
      <w:r>
        <w:rPr>
          <w:rFonts w:ascii="Segoe MDL2 Assets" w:hAnsi="Segoe MDL2 Assets"/>
          <w:sz w:val="24"/>
          <w:szCs w:val="24"/>
        </w:rPr>
        <w:t></w:t>
      </w:r>
      <w:r>
        <w:rPr>
          <w:rFonts w:ascii="Cambria" w:hAnsi="Cambria" w:cs="Cambria"/>
          <w:sz w:val="24"/>
          <w:szCs w:val="24"/>
        </w:rPr>
        <w:t>业务通道</w:t>
      </w:r>
      <w:r>
        <w:rPr>
          <w:rFonts w:hint="eastAsia"/>
          <w:sz w:val="24"/>
          <w:szCs w:val="24"/>
        </w:rPr>
        <w:t>：初级-</w:t>
      </w:r>
      <w:r>
        <w:rPr>
          <w:sz w:val="24"/>
          <w:szCs w:val="24"/>
        </w:rPr>
        <w:t>--</w:t>
      </w:r>
      <w:r>
        <w:rPr>
          <w:rFonts w:hint="eastAsia"/>
          <w:sz w:val="24"/>
          <w:szCs w:val="24"/>
        </w:rPr>
        <w:t>-中级-</w:t>
      </w:r>
      <w:r>
        <w:rPr>
          <w:sz w:val="24"/>
          <w:szCs w:val="24"/>
        </w:rPr>
        <w:t>---</w:t>
      </w:r>
      <w:r>
        <w:rPr>
          <w:rFonts w:hint="eastAsia"/>
          <w:sz w:val="24"/>
          <w:szCs w:val="24"/>
        </w:rPr>
        <w:t>高级。持证后可朝基金、资产管理等方向发展</w:t>
      </w:r>
    </w:p>
    <w:p>
      <w:pPr>
        <w:spacing w:line="360" w:lineRule="auto"/>
        <w:rPr>
          <w:sz w:val="24"/>
          <w:szCs w:val="24"/>
        </w:rPr>
      </w:pPr>
      <w:r>
        <w:rPr>
          <w:rFonts w:ascii="Segoe MDL2 Assets" w:hAnsi="Segoe MDL2 Assets"/>
          <w:sz w:val="24"/>
          <w:szCs w:val="24"/>
        </w:rPr>
        <w:t></w:t>
      </w:r>
      <w:r>
        <w:rPr>
          <w:rFonts w:ascii="Cambria" w:hAnsi="Cambria" w:cs="Cambria"/>
          <w:sz w:val="24"/>
          <w:szCs w:val="24"/>
        </w:rPr>
        <w:t>管理通道</w:t>
      </w:r>
      <w:r>
        <w:rPr>
          <w:rFonts w:hint="eastAsia"/>
          <w:sz w:val="24"/>
          <w:szCs w:val="24"/>
        </w:rPr>
        <w:t>：组长-</w:t>
      </w:r>
      <w:r>
        <w:rPr>
          <w:sz w:val="24"/>
          <w:szCs w:val="24"/>
        </w:rPr>
        <w:t>--</w:t>
      </w:r>
      <w:r>
        <w:rPr>
          <w:rFonts w:hint="eastAsia"/>
          <w:sz w:val="24"/>
          <w:szCs w:val="24"/>
        </w:rPr>
        <w:t>-经理-</w:t>
      </w:r>
      <w:r>
        <w:rPr>
          <w:sz w:val="24"/>
          <w:szCs w:val="24"/>
        </w:rPr>
        <w:t>---</w:t>
      </w:r>
      <w:r>
        <w:rPr>
          <w:rFonts w:hint="eastAsia"/>
          <w:sz w:val="24"/>
          <w:szCs w:val="24"/>
        </w:rPr>
        <w:t>总监。入职三个月左右参加考核可直接晋升储备干部</w:t>
      </w:r>
    </w:p>
    <w:p>
      <w:pPr>
        <w:spacing w:line="360" w:lineRule="auto"/>
        <w:rPr>
          <w:sz w:val="24"/>
          <w:szCs w:val="24"/>
        </w:rPr>
      </w:pPr>
      <w:r>
        <w:rPr>
          <w:rFonts w:ascii="Segoe MDL2 Assets" w:hAnsi="Segoe MDL2 Assets"/>
          <w:sz w:val="24"/>
          <w:szCs w:val="24"/>
        </w:rPr>
        <w:t></w:t>
      </w:r>
      <w:r>
        <w:rPr>
          <w:rFonts w:hint="eastAsia"/>
          <w:sz w:val="24"/>
          <w:szCs w:val="24"/>
        </w:rPr>
        <w:t>其他岗位：讲师、策划、合规、客服、产品研发、培训师、人事行政等中后台岗位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rFonts w:ascii="黑体" w:hAnsi="黑体" w:eastAsia="黑体"/>
          <w:color w:val="FF0000"/>
          <w:sz w:val="28"/>
          <w:szCs w:val="28"/>
        </w:rPr>
      </w:pPr>
      <w:r>
        <w:rPr>
          <w:rFonts w:ascii="黑体" w:hAnsi="黑体" w:eastAsia="黑体"/>
          <w:color w:val="FF0000"/>
          <w:sz w:val="28"/>
          <w:szCs w:val="28"/>
        </w:rPr>
        <w:t>【我们的优势】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☛</w:t>
      </w:r>
      <w:r>
        <w:rPr>
          <w:sz w:val="24"/>
          <w:szCs w:val="24"/>
        </w:rPr>
        <w:t>无需</w:t>
      </w:r>
      <w:r>
        <w:rPr>
          <w:rFonts w:hint="eastAsia"/>
          <w:sz w:val="24"/>
          <w:szCs w:val="24"/>
        </w:rPr>
        <w:t>去</w:t>
      </w:r>
      <w:r>
        <w:rPr>
          <w:sz w:val="24"/>
          <w:szCs w:val="24"/>
        </w:rPr>
        <w:t>拓展客户</w:t>
      </w:r>
      <w:r>
        <w:rPr>
          <w:rFonts w:hint="eastAsia"/>
          <w:sz w:val="24"/>
          <w:szCs w:val="24"/>
        </w:rPr>
        <w:t>-</w:t>
      </w:r>
      <w:r>
        <w:rPr>
          <w:sz w:val="24"/>
          <w:szCs w:val="24"/>
        </w:rPr>
        <w:t>----公司提供高净值优质客户，有需求，活跃度高，</w:t>
      </w:r>
      <w:r>
        <w:rPr>
          <w:rFonts w:hint="eastAsia"/>
          <w:sz w:val="24"/>
          <w:szCs w:val="24"/>
        </w:rPr>
        <w:t>黏性高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☛</w:t>
      </w:r>
      <w:r>
        <w:rPr>
          <w:sz w:val="24"/>
          <w:szCs w:val="24"/>
        </w:rPr>
        <w:t>丰厚的薪资待遇</w:t>
      </w:r>
      <w:r>
        <w:rPr>
          <w:rFonts w:hint="eastAsia"/>
          <w:sz w:val="24"/>
          <w:szCs w:val="24"/>
        </w:rPr>
        <w:t>-</w:t>
      </w:r>
      <w:r>
        <w:rPr>
          <w:sz w:val="24"/>
          <w:szCs w:val="24"/>
        </w:rPr>
        <w:t>----入职第一年新人平均年薪9W起，入职第二年新人平均年薪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3W起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☛</w:t>
      </w:r>
      <w:r>
        <w:rPr>
          <w:sz w:val="24"/>
          <w:szCs w:val="24"/>
        </w:rPr>
        <w:t>优秀的品牌支持</w:t>
      </w:r>
      <w:r>
        <w:rPr>
          <w:rFonts w:hint="eastAsia"/>
          <w:sz w:val="24"/>
          <w:szCs w:val="24"/>
        </w:rPr>
        <w:t>-</w:t>
      </w:r>
      <w:r>
        <w:rPr>
          <w:sz w:val="24"/>
          <w:szCs w:val="24"/>
        </w:rPr>
        <w:t>----专注证券分析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0余年，上市公司，百亿市值，技术领先，口碑极好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☛</w:t>
      </w:r>
      <w:r>
        <w:rPr>
          <w:sz w:val="24"/>
          <w:szCs w:val="24"/>
        </w:rPr>
        <w:t>先进的营销模式</w:t>
      </w:r>
      <w:r>
        <w:rPr>
          <w:rFonts w:hint="eastAsia"/>
          <w:sz w:val="24"/>
          <w:szCs w:val="24"/>
        </w:rPr>
        <w:t>-</w:t>
      </w:r>
      <w:r>
        <w:rPr>
          <w:sz w:val="24"/>
          <w:szCs w:val="24"/>
        </w:rPr>
        <w:t>----大数据过程管理，多团队协同配合，不同于传统券商的营销手段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☛</w:t>
      </w:r>
      <w:r>
        <w:rPr>
          <w:sz w:val="24"/>
          <w:szCs w:val="24"/>
        </w:rPr>
        <w:t>广阔的发展前景</w:t>
      </w:r>
      <w:r>
        <w:rPr>
          <w:rFonts w:hint="eastAsia"/>
          <w:sz w:val="24"/>
          <w:szCs w:val="24"/>
        </w:rPr>
        <w:t>-</w:t>
      </w:r>
      <w:r>
        <w:rPr>
          <w:sz w:val="24"/>
          <w:szCs w:val="24"/>
        </w:rPr>
        <w:t>----刚起航的头部互联网券商，无论是向上发展，还是横向转岗你都有机会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☛</w:t>
      </w:r>
      <w:r>
        <w:rPr>
          <w:sz w:val="24"/>
          <w:szCs w:val="24"/>
        </w:rPr>
        <w:t>殷实的人才储备</w:t>
      </w:r>
      <w:r>
        <w:rPr>
          <w:rFonts w:hint="eastAsia"/>
          <w:sz w:val="24"/>
          <w:szCs w:val="24"/>
        </w:rPr>
        <w:t>-</w:t>
      </w:r>
      <w:r>
        <w:rPr>
          <w:sz w:val="24"/>
          <w:szCs w:val="24"/>
        </w:rPr>
        <w:t>----</w:t>
      </w:r>
      <w:r>
        <w:rPr>
          <w:rFonts w:hint="eastAsia"/>
          <w:sz w:val="24"/>
          <w:szCs w:val="24"/>
        </w:rPr>
        <w:t>高管主创及研发团队均为清华大学计算机系毕业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☛</w:t>
      </w:r>
      <w:r>
        <w:rPr>
          <w:sz w:val="24"/>
          <w:szCs w:val="24"/>
        </w:rPr>
        <w:t>稳固的工作机会</w:t>
      </w:r>
      <w:r>
        <w:rPr>
          <w:rFonts w:hint="eastAsia"/>
          <w:sz w:val="24"/>
          <w:szCs w:val="24"/>
        </w:rPr>
        <w:t>-</w:t>
      </w:r>
      <w:r>
        <w:rPr>
          <w:sz w:val="24"/>
          <w:szCs w:val="24"/>
        </w:rPr>
        <w:t>----疫情期不停工不裁员不降薪，有工会，有党组织，更有组织生活会</w:t>
      </w:r>
    </w:p>
    <w:p>
      <w:pPr>
        <w:spacing w:line="360" w:lineRule="auto"/>
        <w:rPr>
          <w:sz w:val="24"/>
          <w:szCs w:val="24"/>
        </w:rPr>
      </w:pPr>
      <w:r>
        <w:rPr>
          <w:rFonts w:ascii="Segoe UI Symbol" w:hAnsi="Segoe UI Symbol" w:cs="Segoe UI Symbol"/>
          <w:color w:val="000000"/>
          <w:spacing w:val="75"/>
          <w:sz w:val="30"/>
          <w:szCs w:val="30"/>
          <w:shd w:val="clear" w:color="auto" w:fill="FFFFFF"/>
        </w:rPr>
        <w:t>☛</w:t>
      </w:r>
      <w:r>
        <w:rPr>
          <w:sz w:val="24"/>
          <w:szCs w:val="24"/>
        </w:rPr>
        <w:t>完善的培训体系</w:t>
      </w:r>
      <w:r>
        <w:rPr>
          <w:rFonts w:hint="eastAsia"/>
          <w:sz w:val="24"/>
          <w:szCs w:val="24"/>
        </w:rPr>
        <w:t>-</w:t>
      </w:r>
      <w:r>
        <w:rPr>
          <w:sz w:val="24"/>
          <w:szCs w:val="24"/>
        </w:rPr>
        <w:t>----岗前培训、在岗培训、质检培训、讲师培训、职证培训、一对一帮扶</w:t>
      </w:r>
    </w:p>
    <w:p>
      <w:pPr>
        <w:spacing w:line="360" w:lineRule="auto"/>
        <w:rPr>
          <w:rFonts w:ascii="黑体" w:hAnsi="黑体" w:eastAsia="黑体"/>
          <w:color w:val="FF0000"/>
          <w:sz w:val="28"/>
          <w:szCs w:val="28"/>
        </w:rPr>
      </w:pPr>
      <w:r>
        <w:rPr>
          <w:rFonts w:ascii="黑体" w:hAnsi="黑体" w:eastAsia="黑体"/>
          <w:color w:val="FF0000"/>
          <w:sz w:val="28"/>
          <w:szCs w:val="28"/>
        </w:rPr>
        <w:t>【指南针简介】</w:t>
      </w:r>
    </w:p>
    <w:p>
      <w:pPr>
        <w:widowControl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指南针品牌创建于 1997 年，总部设立在北京，至今已有 25 年的历史。自成立以来一直专注于证券分析和证券信息服务，是国内最早的证券分析软件开发商和证券信息服务商之一，拥有千万级注册用户以及百万级付费用户。</w:t>
      </w:r>
    </w:p>
    <w:p>
      <w:pPr>
        <w:widowControl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2019年，指南针在深圳证券交易所创业板成功上市 (代码：300803，简称“指南针”)，目前注册资本4.05亿元人民币。是国内首家定位于向个人投资者提供金融服务的股份制公司，具备较强的市场分析能力，并能迅速地满足客户不断变化的个性化需求。</w:t>
      </w:r>
    </w:p>
    <w:p>
      <w:pPr>
        <w:widowControl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022年指南针公司成功收购网信证券，成</w:t>
      </w:r>
      <w:r>
        <w:rPr>
          <w:rFonts w:hint="eastAsia"/>
          <w:sz w:val="24"/>
          <w:szCs w:val="24"/>
        </w:rPr>
        <w:t>为我国第二家拥有券商牌照的互联网企业。依托在金融信息服务领域积累的客户资源、流量入口优势及营销优势，将实现传统证券业务与互联网、大数据等新技术、新模式的深度融合，打通客户服务链条，完成重大跨越，公司将全面步入快速发展期。而公司也将把网信证券打造成以金融科技为驱动，以财富管理为特色的全国知名金融服务商。</w:t>
      </w:r>
    </w:p>
    <w:p>
      <w:pPr>
        <w:widowControl/>
        <w:spacing w:line="360" w:lineRule="auto"/>
        <w:jc w:val="left"/>
        <w:rPr>
          <w:sz w:val="24"/>
          <w:szCs w:val="24"/>
        </w:rPr>
      </w:pPr>
      <w:r>
        <w:drawing>
          <wp:inline distT="0" distB="0" distL="0" distR="0">
            <wp:extent cx="6192520" cy="1569085"/>
            <wp:effectExtent l="0" t="0" r="0" b="0"/>
            <wp:docPr id="183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18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sz w:val="24"/>
          <w:szCs w:val="24"/>
        </w:rPr>
        <w:t>指南针目前的产品主要是面向专业个人投资者的证券分析软件，公司核心产品为财富掌门系列和全赢博弈系列，并设置从入门版到高级版的产品阶梯体系，通过客户进行分层，设计不同产品功能和服务终端，服务客户多样化的投资需求，构建了种类丰富，功能强大的产品体系。</w:t>
      </w:r>
    </w:p>
    <w:p>
      <w:pPr>
        <w:widowControl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sz w:val="24"/>
          <w:szCs w:val="24"/>
        </w:rPr>
        <w:t>从特点上看，指南针侧重于证券分析软件产品设计，客户群体相对较小但黏性高，更有针对性，产品偏重市场分析，产品面向的客户群体主要是高净值的个人投资者，截至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021年末，公司累计注册用户为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500万，付费用户约为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50万，培育了具有一定规模和品牌忠诚度的用户群体。</w:t>
      </w:r>
    </w:p>
    <w:p>
      <w:pPr>
        <w:widowControl/>
        <w:spacing w:line="360" w:lineRule="auto"/>
        <w:jc w:val="left"/>
        <w:rPr>
          <w:sz w:val="24"/>
          <w:szCs w:val="24"/>
        </w:rPr>
      </w:pPr>
      <w:r>
        <w:drawing>
          <wp:inline distT="0" distB="0" distL="0" distR="0">
            <wp:extent cx="6192520" cy="2830195"/>
            <wp:effectExtent l="0" t="0" r="0" b="8255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8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83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sz w:val="24"/>
          <w:szCs w:val="24"/>
        </w:rPr>
        <w:t>2019年到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021年公司营业收入分别是</w:t>
      </w:r>
      <w:r>
        <w:rPr>
          <w:rFonts w:hint="eastAsia"/>
          <w:sz w:val="24"/>
          <w:szCs w:val="24"/>
        </w:rPr>
        <w:t>6</w:t>
      </w:r>
      <w:r>
        <w:rPr>
          <w:sz w:val="24"/>
          <w:szCs w:val="24"/>
        </w:rPr>
        <w:t>.23亿元、</w:t>
      </w:r>
      <w:r>
        <w:rPr>
          <w:rFonts w:hint="eastAsia"/>
          <w:sz w:val="24"/>
          <w:szCs w:val="24"/>
        </w:rPr>
        <w:t>6</w:t>
      </w:r>
      <w:r>
        <w:rPr>
          <w:sz w:val="24"/>
          <w:szCs w:val="24"/>
        </w:rPr>
        <w:t>.93亿元和</w:t>
      </w:r>
      <w:r>
        <w:rPr>
          <w:rFonts w:hint="eastAsia"/>
          <w:sz w:val="24"/>
          <w:szCs w:val="24"/>
        </w:rPr>
        <w:t>9</w:t>
      </w:r>
      <w:r>
        <w:rPr>
          <w:sz w:val="24"/>
          <w:szCs w:val="24"/>
        </w:rPr>
        <w:t>.32亿元，同比分别增长</w:t>
      </w:r>
      <w:r>
        <w:rPr>
          <w:rFonts w:hint="eastAsia"/>
          <w:sz w:val="24"/>
          <w:szCs w:val="24"/>
        </w:rPr>
        <w:t>7</w:t>
      </w:r>
      <w:r>
        <w:rPr>
          <w:sz w:val="24"/>
          <w:szCs w:val="24"/>
        </w:rPr>
        <w:t>.84%、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1.18%和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4.63%，保持连续三年增长，且增速不断提升。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022年一季度营业收入同比大幅增长</w:t>
      </w:r>
      <w:r>
        <w:rPr>
          <w:rFonts w:hint="eastAsia"/>
          <w:sz w:val="24"/>
          <w:szCs w:val="24"/>
        </w:rPr>
        <w:t>8</w:t>
      </w:r>
      <w:r>
        <w:rPr>
          <w:sz w:val="24"/>
          <w:szCs w:val="24"/>
        </w:rPr>
        <w:t>9.51%至</w:t>
      </w:r>
      <w:r>
        <w:rPr>
          <w:rFonts w:hint="eastAsia"/>
          <w:sz w:val="24"/>
          <w:szCs w:val="24"/>
        </w:rPr>
        <w:t>6</w:t>
      </w:r>
      <w:r>
        <w:rPr>
          <w:sz w:val="24"/>
          <w:szCs w:val="24"/>
        </w:rPr>
        <w:t>.23亿元，与2019年持平；归属母公司净利润同比大幅增长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76.50%至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.67亿元，已超过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021全年。</w:t>
      </w:r>
    </w:p>
    <w:p>
      <w:pPr>
        <w:widowControl/>
        <w:spacing w:line="360" w:lineRule="auto"/>
        <w:jc w:val="left"/>
        <w:rPr>
          <w:sz w:val="24"/>
          <w:szCs w:val="24"/>
        </w:rPr>
      </w:pPr>
      <w:r>
        <w:drawing>
          <wp:inline distT="0" distB="0" distL="0" distR="0">
            <wp:extent cx="6192520" cy="212217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指南针公司拥有丰厚的人才储备，公司实际控制人、创始人具有多年证券领域投资经验，多位高管主创及研发团队为清华大学计算机系毕业，对证券行业及金融软件系统经验丰富。管理经营团队在公司任职时间均超过1</w:t>
      </w:r>
      <w:r>
        <w:rPr>
          <w:sz w:val="24"/>
          <w:szCs w:val="24"/>
        </w:rPr>
        <w:t>0年以上，具有丰富的行业经验和较强的市场把控能力，能充分调动公司的各个部门资源予以快速反应，从而为公司长期稳健经营奠定了良好的公司治理基础。</w:t>
      </w:r>
    </w:p>
    <w:p>
      <w:pPr>
        <w:widowControl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sz w:val="24"/>
          <w:szCs w:val="24"/>
        </w:rPr>
        <w:t>指南针是北京市昌平区政府列为疫情期间重点保护的</w:t>
      </w:r>
      <w:r>
        <w:rPr>
          <w:rFonts w:hint="eastAsia"/>
          <w:sz w:val="24"/>
          <w:szCs w:val="24"/>
        </w:rPr>
        <w:t>5</w:t>
      </w:r>
      <w:r>
        <w:rPr>
          <w:sz w:val="24"/>
          <w:szCs w:val="24"/>
        </w:rPr>
        <w:t>0家企业之一，近三年的疫情期间，指南针公司未曾停业一天，未曾裁员一人，未曾降薪一分，并积极做好员工的疫情防护工作，没有一人被确诊过。</w:t>
      </w:r>
    </w:p>
    <w:p>
      <w:pPr>
        <w:widowControl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为迎接公司业务向互联网券商转型，指南针现面向贵校招聘，提供客户顾问岗和实习培训生岗，根据岗位情况入职总公司或全资子公司。</w:t>
      </w:r>
    </w:p>
    <w:p>
      <w:pPr>
        <w:widowControl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指南针提供的不仅仅是一份就业机会，更提供了一份有志青年踏入北京，并且尽快进入金融行业的机会。</w:t>
      </w:r>
    </w:p>
    <w:p>
      <w:pPr>
        <w:spacing w:line="360" w:lineRule="auto"/>
        <w:rPr>
          <w:rFonts w:ascii="黑体" w:hAnsi="黑体" w:eastAsia="黑体"/>
          <w:color w:val="FF0000"/>
          <w:sz w:val="28"/>
          <w:szCs w:val="28"/>
        </w:rPr>
      </w:pPr>
    </w:p>
    <w:p>
      <w:pPr>
        <w:spacing w:line="360" w:lineRule="auto"/>
        <w:rPr>
          <w:rFonts w:ascii="黑体" w:hAnsi="黑体" w:eastAsia="黑体"/>
          <w:color w:val="FF0000"/>
          <w:sz w:val="28"/>
          <w:szCs w:val="28"/>
        </w:rPr>
      </w:pPr>
      <w:r>
        <w:rPr>
          <w:rFonts w:hint="eastAsia" w:ascii="黑体" w:hAnsi="黑体" w:eastAsia="黑体"/>
          <w:color w:val="FF0000"/>
          <w:sz w:val="28"/>
          <w:szCs w:val="28"/>
        </w:rPr>
        <w:t>【公司荣誉】</w:t>
      </w:r>
    </w:p>
    <w:p>
      <w:pPr>
        <w:pStyle w:val="10"/>
        <w:numPr>
          <w:ilvl w:val="0"/>
          <w:numId w:val="1"/>
        </w:numPr>
        <w:spacing w:line="360" w:lineRule="auto"/>
        <w:ind w:left="0" w:firstLine="0"/>
        <w:textAlignment w:val="top"/>
        <w:rPr>
          <w:rFonts w:ascii="微软雅黑" w:hAnsi="微软雅黑" w:eastAsia="微软雅黑"/>
        </w:rPr>
      </w:pPr>
      <w:r>
        <w:rPr>
          <w:rFonts w:hint="eastAsia" w:ascii="黑体" w:hAnsi="黑体" w:eastAsia="黑体"/>
          <w:color w:val="FF0000"/>
          <w:sz w:val="28"/>
          <w:szCs w:val="28"/>
        </w:rPr>
        <mc:AlternateContent>
          <mc:Choice Requires="wps">
            <w:drawing>
              <wp:inline distT="0" distB="0" distL="0" distR="0">
                <wp:extent cx="5838825" cy="257175"/>
                <wp:effectExtent l="0" t="0" r="28575" b="28575"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57175"/>
                        </a:xfrm>
                        <a:prstGeom prst="roundRect">
                          <a:avLst/>
                        </a:prstGeom>
                        <a:solidFill>
                          <a:srgbClr val="E9671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10"/>
                              <w:spacing w:line="0" w:lineRule="atLeast"/>
                              <w:textAlignment w:val="top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2019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年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沪、深交易所《最佳证券信息服务奖》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20.25pt;width:459.75pt;" fillcolor="#E96717" filled="t" stroked="t" coordsize="21600,21600" arcsize="0.166666666666667" o:gfxdata="UEsDBAoAAAAAAIdO4kAAAAAAAAAAAAAAAAAEAAAAZHJzL1BLAwQUAAAACACHTuJASff6O9UAAAAE&#10;AQAADwAAAGRycy9kb3ducmV2LnhtbE2PwW7CMBBE75X6D9Yi9VbsVAVBmg0HRMWpqoC2ZxMvcUS8&#10;jmIDoV9ft5dyWWk0o5m3xWJwrThTHxrPCNlYgSCuvGm4RvjYvT7OQISo2ejWMyFcKcCivL8rdG78&#10;hTd03sZapBIOuUawMXa5lKGy5HQY+444eQffOx2T7Gtpen1J5a6VT0pNpdMNpwWrO1paqo7bk0P4&#10;coNfrlab9/Vs+nb8dle73n1axIdRpl5ARBrifxh+8RM6lIlp709sgmgR0iPx7yZvns0nIPYIz2oC&#10;sizkLXz5A1BLAwQUAAAACACHTuJAxrL82Z0CAAAhBQAADgAAAGRycy9lMm9Eb2MueG1srVTNbhMx&#10;EL4j8Q6W73SzadKkUTdVlFCEVNGIgjg7XjtryX/YTjblAXiAnpGQuCAegsep4DEY25v+waEHctjM&#10;2OPv83wz45PTnZJoy5wXRle4POhhxDQ1tdDrCr9/d/ZijJEPRNdEGs0qfMU8Pp0+f3bS2gnrm8bI&#10;mjkEINpPWlvhJgQ7KQpPG6aIPzCWadjkxikSwHXronakBXQli36vd1S0xtXWGcq8h9VF3sQdonsK&#10;oOFcULYwdKOYDhnVMUkCpOQbYT2epttyzmi44NyzgGSFIdOQvkAC9ip+i+kJmawdsY2g3RXIU67w&#10;KCdFhAbSW6gFCQRtnPgLSgnqjDc8HFCjipxIUgSyKHuPtLlsiGUpF5Da21vR/f+DpW+2S4dEXeEB&#10;RpooKPjNl8+/v1//+vrj5uc3NIgKtdZPIPDSLl3neTBjujvuVPyHRNAuqXp1qyrbBURhcTg+HI/7&#10;Q4wo7PWHo3I0jKDF3WnrfHjFjELRqLAzG12/hdIlRcn23Iccv4+LjN5IUZ8JKZPj1qu5dGhLoMwv&#10;j4+Ao6N4ECY1aqHl+6MelJ8SaF4OTQOmsiCA12uMiFzDVNDgEveD0/4+yaAclcfzHNSQmmXqYQ9+&#10;e+YcnhJ9gBOzWBDf5CNpKx4hEyUCTJYUqsLjCLRHkhpAYg2y6tEKu9WuK8XK1FdQQmdyb3tLzwQw&#10;nBMflsRBM0OuMO7hAj5cGhDAdBZGjXGf/rUe46HHYBejFoYDxPm4IY5hJF9r6L7Do3g7FJIDhkvG&#10;cTkYgLPar+qNmhsoSAkPiqXJjLFB7k3ujPoAr8EsssEW0RQ4KwwlyeY85FGF14Sy2SwFwdxYEs71&#10;paUROgqnzWwTDBepTaI8WZNONZicVIRuyuNo3vdT1N3LNv0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Sff6O9UAAAAEAQAADwAAAAAAAAABACAAAAAiAAAAZHJzL2Rvd25yZXYueG1sUEsBAhQAFAAA&#10;AAgAh07iQMay/NmdAgAAIQUAAA4AAAAAAAAAAQAgAAAAJAEAAGRycy9lMm9Eb2MueG1sUEsFBgAA&#10;AAAGAAYAWQEAADM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 inset="1mm,0mm,2.54mm,0mm">
                  <w:txbxContent>
                    <w:p>
                      <w:pPr>
                        <w:pStyle w:val="10"/>
                        <w:spacing w:line="0" w:lineRule="atLeast"/>
                        <w:textAlignment w:val="top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2019</w:t>
                      </w:r>
                      <w:r>
                        <w:rPr>
                          <w:rFonts w:ascii="微软雅黑" w:hAnsi="微软雅黑" w:eastAsia="微软雅黑"/>
                        </w:rPr>
                        <w:t>年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沪、深交易所《最佳证券信息服务奖》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10"/>
        <w:numPr>
          <w:ilvl w:val="0"/>
          <w:numId w:val="1"/>
        </w:numPr>
        <w:spacing w:line="360" w:lineRule="auto"/>
        <w:ind w:left="0" w:firstLine="0"/>
        <w:textAlignment w:val="top"/>
        <w:rPr>
          <w:rFonts w:ascii="微软雅黑" w:hAnsi="微软雅黑" w:eastAsia="微软雅黑"/>
        </w:rPr>
      </w:pPr>
      <w:r>
        <w:rPr>
          <w:rFonts w:hint="eastAsia" w:ascii="黑体" w:hAnsi="黑体" w:eastAsia="黑体"/>
          <w:color w:val="FF0000"/>
          <w:sz w:val="28"/>
          <w:szCs w:val="28"/>
        </w:rPr>
        <mc:AlternateContent>
          <mc:Choice Requires="wps">
            <w:drawing>
              <wp:inline distT="0" distB="0" distL="0" distR="0">
                <wp:extent cx="5838825" cy="257175"/>
                <wp:effectExtent l="0" t="0" r="28575" b="28575"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57175"/>
                        </a:xfrm>
                        <a:prstGeom prst="roundRect">
                          <a:avLst/>
                        </a:prstGeom>
                        <a:solidFill>
                          <a:srgbClr val="E9671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10"/>
                              <w:spacing w:line="0" w:lineRule="atLeast"/>
                              <w:textAlignment w:val="top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2017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年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沪、深交易所《发展进步奖》《优秀合作伙伴》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20.25pt;width:459.75pt;" fillcolor="#E96717" filled="t" stroked="t" coordsize="21600,21600" arcsize="0.166666666666667" o:gfxdata="UEsDBAoAAAAAAIdO4kAAAAAAAAAAAAAAAAAEAAAAZHJzL1BLAwQUAAAACACHTuJASff6O9UAAAAE&#10;AQAADwAAAGRycy9kb3ducmV2LnhtbE2PwW7CMBBE75X6D9Yi9VbsVAVBmg0HRMWpqoC2ZxMvcUS8&#10;jmIDoV9ft5dyWWk0o5m3xWJwrThTHxrPCNlYgSCuvGm4RvjYvT7OQISo2ejWMyFcKcCivL8rdG78&#10;hTd03sZapBIOuUawMXa5lKGy5HQY+444eQffOx2T7Gtpen1J5a6VT0pNpdMNpwWrO1paqo7bk0P4&#10;coNfrlab9/Vs+nb8dle73n1axIdRpl5ARBrifxh+8RM6lIlp709sgmgR0iPx7yZvns0nIPYIz2oC&#10;sizkLXz5A1BLAwQUAAAACACHTuJARuNpBZwCAAAhBQAADgAAAGRycy9lMm9Eb2MueG1srVTLbhMx&#10;FN0j8Q+W93SStGnSqJMqSihCqmhFQawdjydjyS9s51E+gA9gjYTEBvERfE4Fn8GxJ+mTRRdkMbnX&#10;vj7H99x7fXyy0YqshA/SmpJ29zqUCMNtJc2ipO/fnb4YUhIiMxVT1oiSXolAT8bPnx2v3Uj0bGNV&#10;JTwBiAmjtStpE6MbFUXgjdAs7FknDDZr6zWLcP2iqDxbA12rotfpHBZr6yvnLRchYHXWbtIton8K&#10;oK1rycXM8qUWJraoXigWkVJopAt0nG9b14LH87oOIhJVUmQa8xcksOfpW4yP2WjhmWsk316BPeUK&#10;D3LSTBqQ3kDNWGRk6eUjKC25t8HWcY9bXbSJZEWQRbfzQJvLhjmRc4HUwd2IHv4fLH+zuvBEViXt&#10;U2KYRsGvv37+8+PL728/r399J/2k0NqFEQIv3YXfegFmSndTe53+kQjZZFWvblQVm0g4FvvD/eGw&#10;B3iOvV5/0B1k0OL2tPMhvhJWk2SU1Nulqd6idFlRtjoLEbSI38UlxmCVrE6lUtnxi/lUebJiKPPL&#10;o0NwpHvjyL0wZcgaLd8bdFB+ztC8NZoGpnYQIJgFJUwtMBU8+sx973S4S3LQHXSPpm1QwyrRUvc7&#10;+O2Y2/DHt0hZzFho2iOZIh1hIy0jJktJXdJhAtohKQOQVINW9WTFzXyzLcXcVlcoobdtbwfHTyUY&#10;zliIF8yjmZErxj2e41MrCwHs1qKksf7Tv9ZTPHoMu5SsMRwQ5+OSeUGJem3QffuH6XYkZgeGz8ZR&#10;9+AAzny3apZ6alGQLh4Ux7OZYqPambW3+gNeg0liwxYzHJwlRUlacxrbUcVrwsVkkoMwN47FM3Pp&#10;eIJOwhk7WUZby9wmSZ5Wk61qmJxchO2Up9G86+eo25dt/B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BJ9/o71QAAAAQBAAAPAAAAAAAAAAEAIAAAACIAAABkcnMvZG93bnJldi54bWxQSwECFAAUAAAA&#10;CACHTuJARuNpBZwCAAAhBQAADgAAAAAAAAABACAAAAAkAQAAZHJzL2Uyb0RvYy54bWxQSwUGAAAA&#10;AAYABgBZAQAAMg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 inset="1mm,0mm,2.54mm,0mm">
                  <w:txbxContent>
                    <w:p>
                      <w:pPr>
                        <w:pStyle w:val="10"/>
                        <w:spacing w:line="0" w:lineRule="atLeast"/>
                        <w:textAlignment w:val="top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2017</w:t>
                      </w:r>
                      <w:r>
                        <w:rPr>
                          <w:rFonts w:ascii="微软雅黑" w:hAnsi="微软雅黑" w:eastAsia="微软雅黑"/>
                        </w:rPr>
                        <w:t>年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沪、深交易所《发展进步奖》《优秀合作伙伴》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10"/>
        <w:numPr>
          <w:ilvl w:val="0"/>
          <w:numId w:val="1"/>
        </w:numPr>
        <w:spacing w:line="360" w:lineRule="auto"/>
        <w:ind w:left="0" w:firstLine="0"/>
        <w:textAlignment w:val="top"/>
        <w:rPr>
          <w:rFonts w:ascii="微软雅黑" w:hAnsi="微软雅黑" w:eastAsia="微软雅黑"/>
        </w:rPr>
      </w:pPr>
      <w:r>
        <w:rPr>
          <w:rFonts w:hint="eastAsia" w:ascii="黑体" w:hAnsi="黑体" w:eastAsia="黑体"/>
          <w:color w:val="FF0000"/>
          <w:sz w:val="28"/>
          <w:szCs w:val="28"/>
        </w:rPr>
        <mc:AlternateContent>
          <mc:Choice Requires="wps">
            <w:drawing>
              <wp:inline distT="0" distB="0" distL="0" distR="0">
                <wp:extent cx="5838825" cy="257175"/>
                <wp:effectExtent l="0" t="0" r="28575" b="28575"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57175"/>
                        </a:xfrm>
                        <a:prstGeom prst="roundRect">
                          <a:avLst/>
                        </a:prstGeom>
                        <a:solidFill>
                          <a:srgbClr val="E9671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10"/>
                              <w:spacing w:line="0" w:lineRule="atLeast"/>
                              <w:textAlignment w:val="top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2017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年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工信部中国电子信息产业发展研究院《证券行业最佳产品奖》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20.25pt;width:459.75pt;" fillcolor="#E96717" filled="t" stroked="t" coordsize="21600,21600" arcsize="0.166666666666667" o:gfxdata="UEsDBAoAAAAAAIdO4kAAAAAAAAAAAAAAAAAEAAAAZHJzL1BLAwQUAAAACACHTuJASff6O9UAAAAE&#10;AQAADwAAAGRycy9kb3ducmV2LnhtbE2PwW7CMBBE75X6D9Yi9VbsVAVBmg0HRMWpqoC2ZxMvcUS8&#10;jmIDoV9ft5dyWWk0o5m3xWJwrThTHxrPCNlYgSCuvGm4RvjYvT7OQISo2ejWMyFcKcCivL8rdG78&#10;hTd03sZapBIOuUawMXa5lKGy5HQY+444eQffOx2T7Gtpen1J5a6VT0pNpdMNpwWrO1paqo7bk0P4&#10;coNfrlab9/Vs+nb8dle73n1axIdRpl5ARBrifxh+8RM6lIlp709sgmgR0iPx7yZvns0nIPYIz2oC&#10;sizkLXz5A1BLAwQUAAAACACHTuJAhxenu50CAAAhBQAADgAAAGRycy9lMm9Eb2MueG1srVTNbhMx&#10;EL4j8Q6W73SzafPTqJsqSihCqmhEQZwdr5215D9sJ5vyADxAz0hIXBAPweNU8BiM7U3/4NADOWxm&#10;7PH3eb6Z8cnpTkm0Zc4LoytcHvQwYpqaWuh1hd+/O3sxxsgHomsijWYVvmIen06fPztp7YT1TWNk&#10;zRwCEO0nra1wE4KdFIWnDVPEHxjLNGxy4xQJ4Lp1UTvSArqSRb/XGxatcbV1hjLvYXWRN3GH6J4C&#10;aDgXlC0M3SimQ0Z1TJIAKflGWI+n6bacMxouOPcsIFlhyDSkL5CAvYrfYnpCJmtHbCNodwXylCs8&#10;ykkRoYH0FmpBAkEbJ/6CUoI64w0PB9SoIieSFIEsyt4jbS4bYlnKBaT29lZ0//9g6Zvt0iFRV3iI&#10;kSYKCn7z5fPv79e/vv64+fkNDaNCrfUTCLy0S9d5HsyY7o47Ff8hEbRLql7dqsp2AVFYHIwPx+P+&#10;ACMKe/3BqBwNImhxd9o6H14xo1A0KuzMRtdvoXRJUbI99yHH7+MiozdS1GdCyuS49WouHdoSKPPL&#10;4yFwdBQPwqRGLbR8f9SD8lMCzcuhacBUFgTweo0RkWuYChpc4n5w2t8nOSpH5fE8BzWkZpl60IPf&#10;njmHp0Qf4MQsFsQ3+UjaikfIRIkAkyWFqvA4Au2RpAaQWIOserTCbrXrSrEy9RWU0Jnc297SMwEM&#10;58SHJXHQzJArjHu4gA+XBgQwnYVRY9ynf63HeOgx2MWoheEAcT5uiGMYydcauu9wGG+HQnLAcMk4&#10;Lo+OwFntV/VGzQ0UpIQHxdJkxtgg9yZ3Rn2A12AW2WCLaAqcFYaSZHMe8qjCa0LZbJaCYG4sCef6&#10;0tIIHYXTZrYJhovUJlGerEmnGkxOKkI35XE07/sp6u5lm/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Sff6O9UAAAAEAQAADwAAAAAAAAABACAAAAAiAAAAZHJzL2Rvd25yZXYueG1sUEsBAhQAFAAA&#10;AAgAh07iQIcXp7udAgAAIQUAAA4AAAAAAAAAAQAgAAAAJAEAAGRycy9lMm9Eb2MueG1sUEsFBgAA&#10;AAAGAAYAWQEAADM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 inset="1mm,0mm,2.54mm,0mm">
                  <w:txbxContent>
                    <w:p>
                      <w:pPr>
                        <w:pStyle w:val="10"/>
                        <w:spacing w:line="0" w:lineRule="atLeast"/>
                        <w:textAlignment w:val="top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2017</w:t>
                      </w:r>
                      <w:r>
                        <w:rPr>
                          <w:rFonts w:ascii="微软雅黑" w:hAnsi="微软雅黑" w:eastAsia="微软雅黑"/>
                        </w:rPr>
                        <w:t>年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工信部中国电子信息产业发展研究院《证券行业最佳产品奖》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10"/>
        <w:numPr>
          <w:ilvl w:val="0"/>
          <w:numId w:val="1"/>
        </w:numPr>
        <w:spacing w:line="360" w:lineRule="auto"/>
        <w:ind w:left="0" w:firstLine="0"/>
        <w:textAlignment w:val="top"/>
        <w:rPr>
          <w:rFonts w:ascii="微软雅黑" w:hAnsi="微软雅黑" w:eastAsia="微软雅黑"/>
        </w:rPr>
      </w:pPr>
      <w:r>
        <w:rPr>
          <w:rFonts w:hint="eastAsia" w:ascii="黑体" w:hAnsi="黑体" w:eastAsia="黑体"/>
          <w:color w:val="FF0000"/>
          <w:sz w:val="28"/>
          <w:szCs w:val="28"/>
        </w:rPr>
        <mc:AlternateContent>
          <mc:Choice Requires="wps">
            <w:drawing>
              <wp:inline distT="0" distB="0" distL="0" distR="0">
                <wp:extent cx="5838825" cy="542925"/>
                <wp:effectExtent l="0" t="0" r="28575" b="28575"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542925"/>
                        </a:xfrm>
                        <a:prstGeom prst="roundRect">
                          <a:avLst/>
                        </a:prstGeom>
                        <a:solidFill>
                          <a:srgbClr val="E9671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10"/>
                              <w:spacing w:line="0" w:lineRule="atLeast"/>
                              <w:textAlignment w:val="top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2016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年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工信部中国电子信息产业发展研究院《中国证券信息服务业最具影响力企业奖》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42.75pt;width:459.75pt;" fillcolor="#E96717" filled="t" stroked="t" coordsize="21600,21600" arcsize="0.166666666666667" o:gfxdata="UEsDBAoAAAAAAIdO4kAAAAAAAAAAAAAAAAAEAAAAZHJzL1BLAwQUAAAACACHTuJAmyp7J9UAAAAE&#10;AQAADwAAAGRycy9kb3ducmV2LnhtbE2PwW7CMBBE75X4B2sr9VacVAoKaRwOCMSpqoC25yXexhHx&#10;OooNhH59DZf2stJoRjNvy8VoO3GmwbeOFaTTBARx7XTLjYKP/fo5B+EDssbOMSm4kodFNXkosdDu&#10;wls670IjYgn7AhWYEPpCSl8bsuinrieO3rcbLIYoh0bqAS+x3HbyJUlm0mLLccFgT0tD9XF3sgq+&#10;7OiWq9X2fZPP3o4/9mo2+0+j1NNjmryCCDSGvzDc8CM6VJHp4E6svegUxEfC/UZvns4zEAcFeZaB&#10;rEr5H776BVBLAwQUAAAACACHTuJA2tv7QJwCAAAhBQAADgAAAGRycy9lMm9Eb2MueG1srVTLbhMx&#10;FN0j8Q+W93SSNGke6qSKEoqQKlpREGvH48mM5Be28ygfwAd0jYTEBvERfE4Fn8GxZ9IXLLogi8m9&#10;9vW5vufc6+OTnZJkI5yvjc5p96BDidDcFLVe5fT9u9MXI0p8YLpg0miR0yvh6cn0+bPjrZ2InqmM&#10;LIQjANF+srU5rUKwkyzzvBKK+QNjhcZmaZxiAa5bZYVjW6ArmfU6naNsa1xhneHCe6wumk3aIrqn&#10;AJqyrLlYGL5WQocG1QnJAkryVW09nabblqXg4bwsvQhE5hSVhvRFEtjL+M2mx2yycsxWNW+vwJ5y&#10;hUc1KVZrJL2FWrDAyNrVf0GpmjvjTRkOuFFZU0hiBFV0O4+4uayYFakWUO3tLen+/8HyN5sLR+oi&#10;p5BdMwXBb758/v39+tfXHzc/v5FRZGhr/QSBl/bCtZ6HGcvdlU7FfxRCdonVq1tWxS4QjsXB6HA0&#10;6g0o4dgb9Htj2IDJ7k5b58MrYRSJRk6dWeviLaRLjLLNmQ9N/D4uZvRG1sVpLWVy3Go5l45sGGR+&#10;OT4adodtigdhUpMtWr437EB+ztC8JZoGprIgwOsVJUyuMBU8uJT7wWl/P0m/O+yO501QxQrRpB50&#10;8NtnbsJToQ9wYhUL5qvmSNqKR9hE1QGTJWsFMSLQHklqgEQNGtajFXbLXSvF0hRXkNCZpre95ac1&#10;MpwxHy6YQzOjVox7OMenlAYEmNaipDLu07/WYzx6DLuUbDEcIOfjmjlBiXyt0X2HR/F2JCQHhkvG&#10;uNvvw1nuV/VazQ0E6eJBsTyZMTbIvVk6oz7gNZjFbNhimiNnTiFJY85DM6p4TbiYzVIQ5saycKYv&#10;LY/QkThtZutgyjq1SaSn4aRlDZOTRGinPI7mfT9F3b1s0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CbKnsn1QAAAAQBAAAPAAAAAAAAAAEAIAAAACIAAABkcnMvZG93bnJldi54bWxQSwECFAAUAAAA&#10;CACHTuJA2tv7QJwCAAAhBQAADgAAAAAAAAABACAAAAAkAQAAZHJzL2Uyb0RvYy54bWxQSwUGAAAA&#10;AAYABgBZAQAAMg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 inset="1mm,0mm,2.54mm,0mm">
                  <w:txbxContent>
                    <w:p>
                      <w:pPr>
                        <w:pStyle w:val="10"/>
                        <w:spacing w:line="0" w:lineRule="atLeast"/>
                        <w:textAlignment w:val="top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2016</w:t>
                      </w:r>
                      <w:r>
                        <w:rPr>
                          <w:rFonts w:ascii="微软雅黑" w:hAnsi="微软雅黑" w:eastAsia="微软雅黑"/>
                        </w:rPr>
                        <w:t>年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工信部中国电子信息产业发展研究院《中国证券信息服务业最具影响力企业奖》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10"/>
        <w:numPr>
          <w:ilvl w:val="0"/>
          <w:numId w:val="1"/>
        </w:numPr>
        <w:spacing w:line="360" w:lineRule="auto"/>
        <w:ind w:left="0" w:firstLine="0"/>
        <w:textAlignment w:val="top"/>
        <w:rPr>
          <w:rFonts w:ascii="微软雅黑" w:hAnsi="微软雅黑" w:eastAsia="微软雅黑"/>
        </w:rPr>
      </w:pPr>
      <w:r>
        <w:rPr>
          <w:rFonts w:hint="eastAsia" w:ascii="黑体" w:hAnsi="黑体" w:eastAsia="黑体"/>
          <w:color w:val="FF0000"/>
          <w:sz w:val="28"/>
          <w:szCs w:val="28"/>
        </w:rPr>
        <mc:AlternateContent>
          <mc:Choice Requires="wps">
            <w:drawing>
              <wp:inline distT="0" distB="0" distL="0" distR="0">
                <wp:extent cx="5838825" cy="276225"/>
                <wp:effectExtent l="0" t="0" r="28575" b="28575"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76225"/>
                        </a:xfrm>
                        <a:prstGeom prst="roundRect">
                          <a:avLst/>
                        </a:prstGeom>
                        <a:solidFill>
                          <a:srgbClr val="E9671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10"/>
                              <w:spacing w:line="0" w:lineRule="atLeast"/>
                              <w:textAlignment w:val="top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2015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年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工信部中国电子信息产业发展研究院《证券行业最佳产品奖》</w:t>
                            </w:r>
                          </w:p>
                          <w:p>
                            <w:pPr>
                              <w:pStyle w:val="10"/>
                              <w:spacing w:line="0" w:lineRule="atLeast"/>
                              <w:textAlignment w:val="top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21.75pt;width:459.75pt;" fillcolor="#E96717" filled="t" stroked="t" coordsize="21600,21600" arcsize="0.166666666666667" o:gfxdata="UEsDBAoAAAAAAIdO4kAAAAAAAAAAAAAAAAAEAAAAZHJzL1BLAwQUAAAACACHTuJAg7pTlNUAAAAE&#10;AQAADwAAAGRycy9kb3ducmV2LnhtbE2PwW7CMBBE70j8g7WVegMntCAIcTggKk5VBbScTbyNI+J1&#10;FBsI/fpue2kvK41mNPM2X/WuEVfsQu1JQTpOQCCV3tRUKXg/vIzmIELUZHTjCRXcMcCqGA5ynRl/&#10;ox1e97ESXEIh0wpsjG0mZSgtOh3GvkVi79N3TkeWXSVNp29c7ho5SZKZdLomXrC6xbXF8ry/OAVH&#10;1/v1ZrN7285nr+cvd7fbw4dV6vEhTZYgIvbxLww/+IwOBTOd/IVMEI0CfiT+XvYW6WIK4qTg+WkK&#10;ssjlf/jiG1BLAwQUAAAACACHTuJApv2ATJ0CAAAhBQAADgAAAGRycy9lMm9Eb2MueG1srVRLbhQx&#10;EN0jcQfLe9LTk2R+Sk80miEIKSIRAbH2uN3TLfmH7fmEA3AA1khIbBCH4DgRHINnd09+sGDBLHpe&#10;2eVXrldVPjndKUk2wvnG6ILmBz1KhOambPSqoG/fnD0bUeID0yWTRouCXgtPT6dPn5xs7UT0TW1k&#10;KRwBifaTrS1oHYKdZJnntVDMHxgrNDYr4xQLMN0qKx3bgl3JrN/rDbKtcaV1hgvvsbpoN2nH6P6F&#10;0FRVw8XC8LUSOrSsTkgWkJKvG+vpNN22qgQPF1XlRSCyoMg0pC+CAC/jN5uesMnKMVs3vLsC+5cr&#10;PMpJsUYj6C3VggVG1q75g0o13BlvqnDAjcraRJIiyCLvPdLmqmZWpFwgtbe3ovv/R8tfbS4dacqC&#10;jinRTKHgN58//vr26eeX7zc/vpJxVGhr/QSOV/bSdZYHjOnuKqfiPxIhu6Tq9a2qYhcIx+Lx6HA0&#10;6h9TwrHXHw76wKDJ7k5b58MLYRSJoKDOrHX5GqVLirLNuQ+t/94vRvRGNuVZI2Uy3Go5l45sGMr8&#10;fDwY5sMuxAM3qckWLd8f9lB+ztC8FZoGUFkI4PWKEiZXmAoeXIr94LS/H+QoH+bjeetUs1K0oY97&#10;+O0jt+4p0Qc8MYsF83V7JG3FI2yimoDJko0q6CgS7ZmkBkmsQat6RGG33HWlWJryGiV0pu1tb/lZ&#10;gwjnzIdL5tDMyBXjHi7wqaSBAKZDlNTGffjbevRHj2GXki2GA+K8XzMnKJEvNbrvcBBvR0IyAFwC&#10;4/zoCMZyv6rXam5QkBwPiuUJRt8g97ByRr3DazCL0bDFNEfMgqIkLZyHdlTxmnAxmyUnzI1l4Vxf&#10;WR6po3DazNbBVE1qkyhPq0mnGiYnFaGb8jia9+3kdfeyTX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g7pTlNUAAAAEAQAADwAAAAAAAAABACAAAAAiAAAAZHJzL2Rvd25yZXYueG1sUEsBAhQAFAAA&#10;AAgAh07iQKb9gEydAgAAIQUAAA4AAAAAAAAAAQAgAAAAJAEAAGRycy9lMm9Eb2MueG1sUEsFBgAA&#10;AAAGAAYAWQEAADM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 inset="1mm,0mm,2.54mm,0mm">
                  <w:txbxContent>
                    <w:p>
                      <w:pPr>
                        <w:pStyle w:val="10"/>
                        <w:spacing w:line="0" w:lineRule="atLeast"/>
                        <w:textAlignment w:val="top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2015</w:t>
                      </w:r>
                      <w:r>
                        <w:rPr>
                          <w:rFonts w:ascii="微软雅黑" w:hAnsi="微软雅黑" w:eastAsia="微软雅黑"/>
                        </w:rPr>
                        <w:t>年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工信部中国电子信息产业发展研究院《证券行业最佳产品奖》</w:t>
                      </w:r>
                    </w:p>
                    <w:p>
                      <w:pPr>
                        <w:pStyle w:val="10"/>
                        <w:spacing w:line="0" w:lineRule="atLeast"/>
                        <w:textAlignment w:val="top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10"/>
        <w:numPr>
          <w:ilvl w:val="0"/>
          <w:numId w:val="1"/>
        </w:numPr>
        <w:spacing w:line="360" w:lineRule="auto"/>
        <w:ind w:left="0" w:firstLine="0"/>
        <w:textAlignment w:val="top"/>
        <w:rPr>
          <w:rFonts w:ascii="微软雅黑" w:hAnsi="微软雅黑" w:eastAsia="微软雅黑"/>
        </w:rPr>
      </w:pPr>
      <w:r>
        <w:rPr>
          <w:rFonts w:hint="eastAsia" w:ascii="黑体" w:hAnsi="黑体" w:eastAsia="黑体"/>
          <w:color w:val="FF0000"/>
          <w:sz w:val="28"/>
          <w:szCs w:val="28"/>
        </w:rPr>
        <mc:AlternateContent>
          <mc:Choice Requires="wps">
            <w:drawing>
              <wp:inline distT="0" distB="0" distL="0" distR="0">
                <wp:extent cx="5838825" cy="257175"/>
                <wp:effectExtent l="0" t="0" r="28575" b="28575"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57175"/>
                        </a:xfrm>
                        <a:prstGeom prst="roundRect">
                          <a:avLst/>
                        </a:prstGeom>
                        <a:solidFill>
                          <a:srgbClr val="E9671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10"/>
                              <w:spacing w:line="0" w:lineRule="atLeast"/>
                              <w:textAlignment w:val="top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2013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年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工信部中国电子信息产业发展研究院《同业客户满意度最高企业》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20.25pt;width:459.75pt;" fillcolor="#E96717" filled="t" stroked="t" coordsize="21600,21600" arcsize="0.166666666666667" o:gfxdata="UEsDBAoAAAAAAIdO4kAAAAAAAAAAAAAAAAAEAAAAZHJzL1BLAwQUAAAACACHTuJASff6O9UAAAAE&#10;AQAADwAAAGRycy9kb3ducmV2LnhtbE2PwW7CMBBE75X6D9Yi9VbsVAVBmg0HRMWpqoC2ZxMvcUS8&#10;jmIDoV9ft5dyWWk0o5m3xWJwrThTHxrPCNlYgSCuvGm4RvjYvT7OQISo2ejWMyFcKcCivL8rdG78&#10;hTd03sZapBIOuUawMXa5lKGy5HQY+444eQffOx2T7Gtpen1J5a6VT0pNpdMNpwWrO1paqo7bk0P4&#10;coNfrlab9/Vs+nb8dle73n1axIdRpl5ARBrifxh+8RM6lIlp709sgmgR0iPx7yZvns0nIPYIz2oC&#10;sizkLXz5A1BLAwQUAAAACACHTuJAO9OA7JwCAAAjBQAADgAAAGRycy9lMm9Eb2MueG1srVTLbhMx&#10;FN0j8Q+W93SStGnTqJMqSihCqmhFQawdjydjyS9s51E+gA9gjYTEBvERfE4Fn8GxZ9IXLFiQxeRe&#10;+/pcn3Pv9cnpViuyFj5Ia0ra3+tRIgy3lTTLkr59c/ZsREmIzFRMWSNKei0CPZ08fXKycWMxsI1V&#10;lfAEICaMN66kTYxuXBSBN0KzsGedMNisrdcswvXLovJsA3StikGvd1hsrK+ct1yEgNV5u0k7RP8v&#10;gLauJRdzy1damNiieqFYBKXQSBfoJN+2rgWPF3UdRCSqpGAa8xdJYC/St5icsPHSM9dI3l2B/csV&#10;HnHSTBokvYWas8jIyss/oLTk3gZbxz1uddESyYqARb/3SJurhjmRuUDq4G5FD/8Plr9aX3oiK3QC&#10;JDFMo+I3nz/++vbp55fvNz++EixDo40LY4ReuUvfeQFmIrytvU7/oEK2WdfrW13FNhKOxeFofzQa&#10;DCnh2BsMj/pHwwRa3J12PsQXwmqSjJJ6uzLVaxQva8rW5yG28bu4lDFYJaszqVR2/HIxU56sGQr9&#10;/PgQOboUD8KUIRtQHRz1wJYztG+NtoGpHSQIZkkJU0vMBY8+535wOtxPctA/6h/P2qCGVaJNPezh&#10;t8vchmeiD3ASizkLTXskb6UjbKxlxGwpqUs6SkA7JGUAkmrQqp6suF1su1IsbHWNInrbdndw/Ewi&#10;wzkL8ZJ5tDO4YuDjBT61shDAdhYljfUf/rae4tFl2KVkg/GAOO9XzAtK1EuD/ts/TLcjMTswfDaO&#10;+wcHcBa7VbPSM4uC9PGkOJ7NFBvVzqy91e/wHkxTNmwxw5GzpChJa85iO6x4T7iYTnMQJsexeG6u&#10;HE/QSThjp6toa5nbJMnTatKphtnJRejmPA3nfT9H3b1tk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BJ9/o71QAAAAQBAAAPAAAAAAAAAAEAIAAAACIAAABkcnMvZG93bnJldi54bWxQSwECFAAUAAAA&#10;CACHTuJAO9OA7JwCAAAjBQAADgAAAAAAAAABACAAAAAkAQAAZHJzL2Uyb0RvYy54bWxQSwUGAAAA&#10;AAYABgBZAQAAMg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 inset="1mm,0mm,2.54mm,0mm">
                  <w:txbxContent>
                    <w:p>
                      <w:pPr>
                        <w:pStyle w:val="10"/>
                        <w:spacing w:line="0" w:lineRule="atLeast"/>
                        <w:textAlignment w:val="top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2013</w:t>
                      </w:r>
                      <w:r>
                        <w:rPr>
                          <w:rFonts w:ascii="微软雅黑" w:hAnsi="微软雅黑" w:eastAsia="微软雅黑"/>
                        </w:rPr>
                        <w:t>年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工信部中国电子信息产业发展研究院《同业客户满意度最高企业》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10"/>
        <w:numPr>
          <w:ilvl w:val="0"/>
          <w:numId w:val="1"/>
        </w:numPr>
        <w:spacing w:line="360" w:lineRule="auto"/>
        <w:ind w:left="0" w:firstLine="0"/>
        <w:textAlignment w:val="top"/>
        <w:rPr>
          <w:rFonts w:ascii="微软雅黑" w:hAnsi="微软雅黑" w:eastAsia="微软雅黑"/>
        </w:rPr>
      </w:pPr>
      <w:r>
        <w:rPr>
          <w:rFonts w:hint="eastAsia" w:ascii="黑体" w:hAnsi="黑体" w:eastAsia="黑体"/>
          <w:color w:val="FF0000"/>
          <w:sz w:val="28"/>
          <w:szCs w:val="28"/>
        </w:rPr>
        <mc:AlternateContent>
          <mc:Choice Requires="wps">
            <w:drawing>
              <wp:inline distT="0" distB="0" distL="0" distR="0">
                <wp:extent cx="5838825" cy="533400"/>
                <wp:effectExtent l="0" t="0" r="28575" b="19050"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533400"/>
                        </a:xfrm>
                        <a:prstGeom prst="roundRect">
                          <a:avLst/>
                        </a:prstGeom>
                        <a:solidFill>
                          <a:srgbClr val="E9671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10"/>
                              <w:spacing w:line="0" w:lineRule="atLeast"/>
                              <w:textAlignment w:val="top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2011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年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工信部中国电子信息产业发展研究院《中国证券信息服务客户满意第一品牌》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42pt;width:459.75pt;" fillcolor="#E96717" filled="t" stroked="t" coordsize="21600,21600" arcsize="0.166666666666667" o:gfxdata="UEsDBAoAAAAAAIdO4kAAAAAAAAAAAAAAAAAEAAAAZHJzL1BLAwQUAAAACACHTuJAZ5yWfNUAAAAE&#10;AQAADwAAAGRycy9kb3ducmV2LnhtbE2PwU7DMBBE70j8g7VI3KgdBFWaxumhKuoJobbAeRtv46jx&#10;OordNuXrMVzgstJoRjNvy8XoOnGmIbSeNWQTBYK49qblRsP77uUhBxEissHOM2m4UoBFdXtTYmH8&#10;hTd03sZGpBIOBWqwMfaFlKG25DBMfE+cvIMfHMYkh0aaAS+p3HXyUampdNhyWrDY09JSfdyenIZP&#10;N/rlarV5W+fT1+OXu9r17sNqfX+XqTmISGP8C8MPfkKHKjHt/YlNEJ2G9Ej8vcmbZbNnEHsN+ZMC&#10;WZXyP3z1DVBLAwQUAAAACACHTuJAGCooWp4CAAAjBQAADgAAAGRycy9lMm9Eb2MueG1srVTLbhMx&#10;FN0j8Q+W93QyeTRp1EkVJRQhVbSiINaOx5MZyS9s51E+gA9gjYTEBvERfE4Fn8GxJ+mTRRdkMbm2&#10;r8+599x7fXyyVZKshfON0QXNDzqUCM1N2ehlQd+/O30xosQHpksmjRYFvRKenkyePzve2LHomtrI&#10;UjgCEO3HG1vQOgQ7zjLPa6GYPzBWaBxWxikWsHTLrHRsA3Qls26nc5htjCutM1x4j915e0h3iO4p&#10;gKaqGi7mhq+U0KFFdUKygJR83VhPJynaqhI8nFeVF4HIgiLTkL4ggb2I32xyzMZLx2zd8F0I7Ckh&#10;PMhJsUaD9AZqzgIjK9c8glINd8abKhxwo7I2kaQIssg7D7S5rJkVKRdI7e2N6P7/wfI36wtHmhKd&#10;kFOimULFr79+/vPjy+9vP69/fSfYhkYb68dwvbQXbrfyMGPC28qp+I9UyDbpenWjq9gGwrE5GPVG&#10;o+6AEo6zQa/X7yThs9vb1vnwShhFolFQZ1a6fIviJU3Z+swH0MJ/7xcZvZFNedpImRZuuZhJR9YM&#10;hX55dDjMhzFuXLnnJjXZINXuEBEQztC+FdoGprKQwOslJUwuMRc8uMR977a/S9LPh/nRrHWqWSla&#10;6kEHvz1z6/44ipjFnPm6vZIo4hU2Vk3AbMlGFXQUgfZIUgMk1qBVPVphu9juSrEw5RWK6Ezb3d7y&#10;0wYMZ8yHC+bQzsgVAx/O8amkgQBmZ1FSG/fpX/vRH12GU0o2GA+I83HFnKBEvtbov95hjI6EtIDh&#10;knGU9/tYLPa7eqVmBgVBayGqZEbfIPdm5Yz6gPdgGtlwxDQHZ0FRktachXZY8Z5wMZ0mJ0yOZeFM&#10;X1oeoaNw2kxXwVRNapMoT6vJTjXMTirCbs7jcN5dJ6/bt23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GeclnzVAAAABAEAAA8AAAAAAAAAAQAgAAAAIgAAAGRycy9kb3ducmV2LnhtbFBLAQIUABQA&#10;AAAIAIdO4kAYKihangIAACMFAAAOAAAAAAAAAAEAIAAAACQBAABkcnMvZTJvRG9jLnhtbFBLBQYA&#10;AAAABgAGAFkBAAA0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 inset="1mm,0mm,2.54mm,0mm">
                  <w:txbxContent>
                    <w:p>
                      <w:pPr>
                        <w:pStyle w:val="10"/>
                        <w:spacing w:line="0" w:lineRule="atLeast"/>
                        <w:textAlignment w:val="top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2011</w:t>
                      </w:r>
                      <w:r>
                        <w:rPr>
                          <w:rFonts w:ascii="微软雅黑" w:hAnsi="微软雅黑" w:eastAsia="微软雅黑"/>
                        </w:rPr>
                        <w:t>年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工信部中国电子信息产业发展研究院《中国证券信息服务客户满意第一品牌》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10"/>
        <w:numPr>
          <w:ilvl w:val="0"/>
          <w:numId w:val="1"/>
        </w:numPr>
        <w:spacing w:line="360" w:lineRule="auto"/>
        <w:ind w:left="0" w:firstLine="0"/>
        <w:textAlignment w:val="top"/>
        <w:rPr>
          <w:rFonts w:ascii="微软雅黑" w:hAnsi="微软雅黑" w:eastAsia="微软雅黑"/>
        </w:rPr>
      </w:pPr>
      <w:r>
        <w:rPr>
          <w:rFonts w:hint="eastAsia" w:ascii="黑体" w:hAnsi="黑体" w:eastAsia="黑体"/>
          <w:color w:val="FF0000"/>
          <w:sz w:val="28"/>
          <w:szCs w:val="28"/>
        </w:rPr>
        <mc:AlternateContent>
          <mc:Choice Requires="wps">
            <w:drawing>
              <wp:inline distT="0" distB="0" distL="0" distR="0">
                <wp:extent cx="5838825" cy="257175"/>
                <wp:effectExtent l="0" t="0" r="28575" b="28575"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57175"/>
                        </a:xfrm>
                        <a:prstGeom prst="roundRect">
                          <a:avLst/>
                        </a:prstGeom>
                        <a:solidFill>
                          <a:srgbClr val="E9671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10"/>
                              <w:spacing w:line="0" w:lineRule="atLeast"/>
                              <w:textAlignment w:val="top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2010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年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上交所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《信息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服务商安全运行奖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20.25pt;width:459.75pt;" fillcolor="#E96717" filled="t" stroked="t" coordsize="21600,21600" arcsize="0.166666666666667" o:gfxdata="UEsDBAoAAAAAAIdO4kAAAAAAAAAAAAAAAAAEAAAAZHJzL1BLAwQUAAAACACHTuJASff6O9UAAAAE&#10;AQAADwAAAGRycy9kb3ducmV2LnhtbE2PwW7CMBBE75X6D9Yi9VbsVAVBmg0HRMWpqoC2ZxMvcUS8&#10;jmIDoV9ft5dyWWk0o5m3xWJwrThTHxrPCNlYgSCuvGm4RvjYvT7OQISo2ejWMyFcKcCivL8rdG78&#10;hTd03sZapBIOuUawMXa5lKGy5HQY+444eQffOx2T7Gtpen1J5a6VT0pNpdMNpwWrO1paqo7bk0P4&#10;coNfrlab9/Vs+nb8dle73n1axIdRpl5ARBrifxh+8RM6lIlp709sgmgR0iPx7yZvns0nIPYIz2oC&#10;sizkLXz5A1BLAwQUAAAACACHTuJA2sWsbJ0CAAAjBQAADgAAAGRycy9lMm9Eb2MueG1srVTLbhMx&#10;FN0j8Q+W93SStGnTqJMqSihCqmhFQawdjydjyS9s51E+gA9gjYTEBvERfE4Fn8GxZ9IXLFiQxeRe&#10;+/pcn3Pv9cnpViuyFj5Ia0ra3+tRIgy3lTTLkr59c/ZsREmIzFRMWSNKei0CPZ08fXKycWMxsI1V&#10;lfAEICaMN66kTYxuXBSBN0KzsGedMNisrdcswvXLovJsA3StikGvd1hsrK+ct1yEgNV5u0k7RP8v&#10;gLauJRdzy1damNiieqFYBKXQSBfoJN+2rgWPF3UdRCSqpGAa8xdJYC/St5icsPHSM9dI3l2B/csV&#10;HnHSTBokvYWas8jIyss/oLTk3gZbxz1uddESyYqARb/3SJurhjmRuUDq4G5FD/8Plr9aX3oiK3TC&#10;gBLDNCp+8/njr2+ffn75fvPjK8EyNNq4MEbolbv0nRdgJsLb2uv0Dypkm3W9vtVVbCPhWByO9kej&#10;wZASjr3B8Kh/NEygxd1p50N8IawmySiptytTvUbxsqZsfR5iG7+LSxmDVbI6k0plxy8XM+XJmqHQ&#10;z48PkaNL8SBMGbJJVI96aADO0L412gamdpAgmCUlTC0xFzz6nPvB6XA/yUH/qH88a4MaVok29bCH&#10;3y5zG56JPsBJLOYsNO2RvJWOsLGWEbOlpC7pKAHtkJQBSKpBq3qy4nax7UqxsNU1iuht293B8TOJ&#10;DOcsxEvm0c7gioGPF/jUykIA21mUNNZ/+Nt6ikeXYZeSDcYD4rxfMS8oUS8N+m//MN2OxOzA8Nk4&#10;7h8cwFnsVs1KzywK0seT4ng2U2xUO7P2Vr/DezBN2bDFDEfOkqIkrTmL7bDiPeFiOs1BmBzH4rm5&#10;cjxBJ+GMna6irWVukyRPq0mnGmYnF6Gb8zSc9/0cdfe2TX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Sff6O9UAAAAEAQAADwAAAAAAAAABACAAAAAiAAAAZHJzL2Rvd25yZXYueG1sUEsBAhQAFAAA&#10;AAgAh07iQNrFrGydAgAAIwUAAA4AAAAAAAAAAQAgAAAAJAEAAGRycy9lMm9Eb2MueG1sUEsFBgAA&#10;AAAGAAYAWQEAADM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 inset="1mm,0mm,2.54mm,0mm">
                  <w:txbxContent>
                    <w:p>
                      <w:pPr>
                        <w:pStyle w:val="10"/>
                        <w:spacing w:line="0" w:lineRule="atLeast"/>
                        <w:textAlignment w:val="top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2010</w:t>
                      </w:r>
                      <w:r>
                        <w:rPr>
                          <w:rFonts w:ascii="微软雅黑" w:hAnsi="微软雅黑" w:eastAsia="微软雅黑"/>
                        </w:rPr>
                        <w:t>年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</w:rPr>
                        <w:t>上交所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《信息</w:t>
                      </w:r>
                      <w:r>
                        <w:rPr>
                          <w:rFonts w:ascii="微软雅黑" w:hAnsi="微软雅黑" w:eastAsia="微软雅黑"/>
                        </w:rPr>
                        <w:t>服务商安全运行奖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》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10"/>
        <w:numPr>
          <w:ilvl w:val="0"/>
          <w:numId w:val="1"/>
        </w:numPr>
        <w:spacing w:line="360" w:lineRule="auto"/>
        <w:ind w:left="0" w:firstLine="0"/>
        <w:textAlignment w:val="top"/>
        <w:rPr>
          <w:rFonts w:ascii="微软雅黑" w:hAnsi="微软雅黑" w:eastAsia="微软雅黑"/>
        </w:rPr>
      </w:pPr>
      <w:r>
        <w:rPr>
          <w:rFonts w:hint="eastAsia" w:ascii="黑体" w:hAnsi="黑体" w:eastAsia="黑体"/>
          <w:color w:val="FF0000"/>
          <w:sz w:val="28"/>
          <w:szCs w:val="28"/>
        </w:rPr>
        <mc:AlternateContent>
          <mc:Choice Requires="wps">
            <w:drawing>
              <wp:inline distT="0" distB="0" distL="0" distR="0">
                <wp:extent cx="5838825" cy="257175"/>
                <wp:effectExtent l="0" t="0" r="28575" b="28575"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57175"/>
                        </a:xfrm>
                        <a:prstGeom prst="roundRect">
                          <a:avLst/>
                        </a:prstGeom>
                        <a:solidFill>
                          <a:srgbClr val="E9671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10"/>
                              <w:spacing w:line="0" w:lineRule="atLeast"/>
                              <w:textAlignment w:val="top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08年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北京市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科学技术委员会、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北京市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财政局等联合认证《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高新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技术企业》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_x0000_s1026" o:spid="_x0000_s1026" o:spt="2" style="height:20.25pt;width:459.75pt;" fillcolor="#E96717" filled="t" stroked="t" coordsize="21600,21600" arcsize="0.166666666666667" o:gfxdata="UEsDBAoAAAAAAIdO4kAAAAAAAAAAAAAAAAAEAAAAZHJzL1BLAwQUAAAACACHTuJASff6O9UAAAAE&#10;AQAADwAAAGRycy9kb3ducmV2LnhtbE2PwW7CMBBE75X6D9Yi9VbsVAVBmg0HRMWpqoC2ZxMvcUS8&#10;jmIDoV9ft5dyWWk0o5m3xWJwrThTHxrPCNlYgSCuvGm4RvjYvT7OQISo2ejWMyFcKcCivL8rdG78&#10;hTd03sZapBIOuUawMXa5lKGy5HQY+444eQffOx2T7Gtpen1J5a6VT0pNpdMNpwWrO1paqo7bk0P4&#10;coNfrlab9/Vs+nb8dle73n1axIdRpl5ARBrifxh+8RM6lIlp709sgmgR0iPx7yZvns0nIPYIz2oC&#10;sizkLXz5A1BLAwQUAAAACACHTuJAik0CwZ0CAAAjBQAADgAAAGRycy9lMm9Eb2MueG1srVTLbhMx&#10;FN0j8Q+W93SStGnTqBMUJRQhVbSiINaOx5Ox5Be28ygfwAewRkJig/gIPqeCz+DYM+kLFl2QxeRe&#10;+/pcn3Pv9cnzrVZkLXyQ1pS0v9ejRBhuK2mWJX339vTZiJIQmamYskaU9EoE+nzy9MnJxo3FwDZW&#10;VcITgJgw3riSNjG6cVEE3gjNwp51wmCztl6zCNcvi8qzDdC1Kga93mGxsb5y3nIRAlbn7SbtEP1j&#10;AG1dSy7mlq+0MLFF9UKxCEqhkS7QSb5tXQsez+s6iEhUScE05i+SwF6kbzE5YeOlZ66RvLsCe8wV&#10;HnDSTBokvYGas8jIysu/oLTk3gZbxz1uddESyYqARb/3QJvLhjmRuUDq4G5ED/8Plr9eX3giK3TC&#10;PiWGaVT8+sun398///r64/rnN4JlaLRxYYzQS3fhOy/ATIS3tdfpH1TINut6daOr2EbCsTgc7Y9G&#10;gyElHHuD4VH/aJhAi9vTzof4UlhNklFSb1emeoPiZU3Z+izENn4XlzIGq2R1KpXKjl8uZsqTNUOh&#10;XxwfIkeX4l6YMmQDqoOjHhqAM7RvjbaBqR0kCGZJCVNLzAWPPue+dzrcTXLQP+ofz9qghlWiTT3s&#10;4bfL3IZnovdwEos5C017JG+lI2ysZcRsKalLOkpAOyRlAJJq0KqerLhdbLtSLGx1hSJ623Z3cPxU&#10;IsMZC/GCebQzuGLg4zk+tbIQwHYWJY31H/+1nuLRZdilZIPxgDgfVswLStQrg/7bP0y3IzE7MHw2&#10;jvsHB3AWu1Wz0jOLgvTxpDiezRQb1c6svdXv8R5MUzZsMcORs6QoSWvOYjuseE+4mE5zECbHsXhm&#10;Lh1P0Ek4Y6eraGuZ2yTJ02rSqYbZyUXo5jwN510/R92+bZM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Sff6O9UAAAAEAQAADwAAAAAAAAABACAAAAAiAAAAZHJzL2Rvd25yZXYueG1sUEsBAhQAFAAA&#10;AAgAh07iQIpNAsGdAgAAIwUAAA4AAAAAAAAAAQAgAAAAJAEAAGRycy9lMm9Eb2MueG1sUEsFBgAA&#10;AAAGAAYAWQEAADM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 inset="1mm,0mm,2.54mm,0mm">
                  <w:txbxContent>
                    <w:p>
                      <w:pPr>
                        <w:pStyle w:val="10"/>
                        <w:spacing w:line="0" w:lineRule="atLeast"/>
                        <w:textAlignment w:val="top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</w:t>
                      </w:r>
                      <w:r>
                        <w:rPr>
                          <w:rFonts w:ascii="微软雅黑" w:hAnsi="微软雅黑" w:eastAsia="微软雅黑"/>
                        </w:rPr>
                        <w:t>08年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北京市</w:t>
                      </w:r>
                      <w:r>
                        <w:rPr>
                          <w:rFonts w:ascii="微软雅黑" w:hAnsi="微软雅黑" w:eastAsia="微软雅黑"/>
                        </w:rPr>
                        <w:t>科学技术委员会、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北京市</w:t>
                      </w:r>
                      <w:r>
                        <w:rPr>
                          <w:rFonts w:ascii="微软雅黑" w:hAnsi="微软雅黑" w:eastAsia="微软雅黑"/>
                        </w:rPr>
                        <w:t>财政局等联合认证《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高新</w:t>
                      </w:r>
                      <w:r>
                        <w:rPr>
                          <w:rFonts w:ascii="微软雅黑" w:hAnsi="微软雅黑" w:eastAsia="微软雅黑"/>
                        </w:rPr>
                        <w:t>技术企业》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spacing w:line="360" w:lineRule="auto"/>
        <w:rPr>
          <w:rFonts w:ascii="黑体" w:hAnsi="黑体" w:eastAsia="黑体"/>
          <w:color w:val="FF0000"/>
          <w:sz w:val="28"/>
          <w:szCs w:val="28"/>
        </w:rPr>
      </w:pPr>
      <w:r>
        <w:rPr>
          <w:rFonts w:hint="eastAsia" w:ascii="黑体" w:hAnsi="黑体" w:eastAsia="黑体"/>
          <w:color w:val="FF0000"/>
          <w:sz w:val="28"/>
          <w:szCs w:val="28"/>
        </w:rPr>
        <w:t>【公司环境】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8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</w:tcPr>
          <w:p>
            <w:pPr>
              <w:spacing w:line="360" w:lineRule="auto"/>
              <w:rPr>
                <w:rFonts w:ascii="黑体" w:hAnsi="黑体" w:eastAsia="黑体"/>
                <w:color w:val="FF0000"/>
                <w:sz w:val="28"/>
                <w:szCs w:val="28"/>
              </w:rPr>
            </w:pPr>
            <w:r>
              <w:rPr>
                <w:rFonts w:ascii="黑体" w:hAnsi="黑体" w:eastAsia="黑体"/>
                <w:color w:val="FF0000"/>
                <w:sz w:val="28"/>
                <w:szCs w:val="28"/>
              </w:rPr>
              <w:drawing>
                <wp:inline distT="0" distB="0" distL="0" distR="0">
                  <wp:extent cx="2696210" cy="1799590"/>
                  <wp:effectExtent l="0" t="0" r="889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4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vAlign w:val="center"/>
          </w:tcPr>
          <w:p>
            <w:pPr>
              <w:spacing w:line="360" w:lineRule="auto"/>
              <w:rPr>
                <w:rFonts w:ascii="黑体" w:hAnsi="黑体" w:eastAsia="黑体"/>
                <w:color w:val="FF0000"/>
                <w:sz w:val="28"/>
                <w:szCs w:val="28"/>
              </w:rPr>
            </w:pPr>
            <w:r>
              <w:rPr>
                <w:rFonts w:ascii="黑体" w:hAnsi="黑体" w:eastAsia="黑体"/>
                <w:color w:val="FF0000"/>
                <w:sz w:val="28"/>
                <w:szCs w:val="28"/>
              </w:rPr>
              <w:drawing>
                <wp:inline distT="0" distB="0" distL="0" distR="0">
                  <wp:extent cx="2688590" cy="1799590"/>
                  <wp:effectExtent l="0" t="0" r="0" b="0"/>
                  <wp:docPr id="167" name="图片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图片 16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204" cy="1800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</w:tcPr>
          <w:p>
            <w:pPr>
              <w:spacing w:line="360" w:lineRule="auto"/>
              <w:rPr>
                <w:rFonts w:ascii="黑体" w:hAnsi="黑体" w:eastAsia="黑体"/>
                <w:color w:val="FF0000"/>
                <w:sz w:val="28"/>
                <w:szCs w:val="28"/>
              </w:rPr>
            </w:pPr>
            <w:r>
              <w:rPr>
                <w:rFonts w:ascii="黑体" w:hAnsi="黑体" w:eastAsia="黑体"/>
                <w:color w:val="FF0000"/>
                <w:sz w:val="28"/>
                <w:szCs w:val="28"/>
              </w:rPr>
              <w:drawing>
                <wp:inline distT="0" distB="0" distL="0" distR="0">
                  <wp:extent cx="2703195" cy="1799590"/>
                  <wp:effectExtent l="0" t="0" r="1905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6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</w:tcPr>
          <w:p>
            <w:pPr>
              <w:spacing w:line="360" w:lineRule="auto"/>
              <w:rPr>
                <w:rFonts w:ascii="黑体" w:hAnsi="黑体" w:eastAsia="黑体"/>
                <w:color w:val="FF0000"/>
                <w:sz w:val="28"/>
                <w:szCs w:val="28"/>
              </w:rPr>
            </w:pPr>
            <w:r>
              <w:rPr>
                <w:rFonts w:ascii="黑体" w:hAnsi="黑体" w:eastAsia="黑体"/>
                <w:color w:val="FF0000"/>
                <w:sz w:val="28"/>
                <w:szCs w:val="28"/>
              </w:rPr>
              <w:drawing>
                <wp:inline distT="0" distB="0" distL="0" distR="0">
                  <wp:extent cx="2688590" cy="179959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204" cy="1800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</w:tcPr>
          <w:p>
            <w:pPr>
              <w:spacing w:line="360" w:lineRule="auto"/>
              <w:rPr>
                <w:rFonts w:ascii="黑体" w:hAnsi="黑体" w:eastAsia="黑体"/>
                <w:color w:val="FF0000"/>
                <w:sz w:val="28"/>
                <w:szCs w:val="28"/>
              </w:rPr>
            </w:pPr>
            <w:r>
              <w:rPr>
                <w:rFonts w:ascii="黑体" w:hAnsi="黑体" w:eastAsia="黑体"/>
                <w:color w:val="FF0000"/>
                <w:sz w:val="28"/>
                <w:szCs w:val="28"/>
              </w:rPr>
              <w:drawing>
                <wp:inline distT="0" distB="0" distL="0" distR="0">
                  <wp:extent cx="2688590" cy="2015490"/>
                  <wp:effectExtent l="0" t="0" r="0" b="381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200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</w:tcPr>
          <w:p>
            <w:pPr>
              <w:spacing w:line="360" w:lineRule="auto"/>
              <w:rPr>
                <w:rFonts w:ascii="黑体" w:hAnsi="黑体" w:eastAsia="黑体"/>
                <w:color w:val="FF0000"/>
                <w:sz w:val="28"/>
                <w:szCs w:val="28"/>
              </w:rPr>
            </w:pPr>
            <w:r>
              <w:rPr>
                <w:rFonts w:ascii="黑体" w:hAnsi="黑体" w:eastAsia="黑体"/>
                <w:color w:val="FF0000"/>
                <w:sz w:val="28"/>
                <w:szCs w:val="28"/>
              </w:rPr>
              <w:drawing>
                <wp:inline distT="0" distB="0" distL="0" distR="0">
                  <wp:extent cx="2688590" cy="2015490"/>
                  <wp:effectExtent l="0" t="0" r="0" b="381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200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</w:tcPr>
          <w:p>
            <w:pPr>
              <w:spacing w:line="360" w:lineRule="auto"/>
              <w:rPr>
                <w:rFonts w:ascii="黑体" w:hAnsi="黑体" w:eastAsia="黑体"/>
                <w:color w:val="FF0000"/>
                <w:sz w:val="28"/>
                <w:szCs w:val="28"/>
              </w:rPr>
            </w:pPr>
            <w:r>
              <w:rPr>
                <w:rFonts w:ascii="黑体" w:hAnsi="黑体" w:eastAsia="黑体"/>
                <w:color w:val="FF0000"/>
                <w:sz w:val="28"/>
                <w:szCs w:val="28"/>
              </w:rPr>
              <w:drawing>
                <wp:inline distT="0" distB="0" distL="0" distR="0">
                  <wp:extent cx="2688590" cy="2015490"/>
                  <wp:effectExtent l="0" t="0" r="0" b="381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200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</w:tcPr>
          <w:p>
            <w:pPr>
              <w:spacing w:line="360" w:lineRule="auto"/>
              <w:rPr>
                <w:rFonts w:ascii="黑体" w:hAnsi="黑体" w:eastAsia="黑体"/>
                <w:color w:val="FF0000"/>
                <w:sz w:val="28"/>
                <w:szCs w:val="28"/>
              </w:rPr>
            </w:pPr>
            <w:r>
              <w:rPr>
                <w:rFonts w:ascii="黑体" w:hAnsi="黑体" w:eastAsia="黑体"/>
                <w:color w:val="FF0000"/>
                <w:sz w:val="28"/>
                <w:szCs w:val="28"/>
              </w:rPr>
              <w:drawing>
                <wp:inline distT="0" distB="0" distL="0" distR="0">
                  <wp:extent cx="2688590" cy="2015490"/>
                  <wp:effectExtent l="0" t="0" r="0" b="381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200" cy="2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60" w:lineRule="auto"/>
        <w:rPr>
          <w:rFonts w:ascii="黑体" w:hAnsi="黑体" w:eastAsia="黑体"/>
          <w:color w:val="FF0000"/>
          <w:sz w:val="28"/>
          <w:szCs w:val="28"/>
        </w:rPr>
      </w:pPr>
      <w:r>
        <w:rPr>
          <w:rFonts w:ascii="黑体" w:hAnsi="黑体" w:eastAsia="黑体"/>
          <w:color w:val="FF0000"/>
          <w:sz w:val="28"/>
          <w:szCs w:val="28"/>
        </w:rPr>
        <w:t>【部分合作院校】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3096"/>
        <w:gridCol w:w="1191"/>
        <w:gridCol w:w="3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drawing>
                <wp:inline distT="0" distB="0" distL="0" distR="0">
                  <wp:extent cx="539750" cy="539750"/>
                  <wp:effectExtent l="0" t="0" r="0" b="0"/>
                  <wp:docPr id="188" name="图片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图片 18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渤海大学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drawing>
                <wp:inline distT="0" distB="0" distL="0" distR="0">
                  <wp:extent cx="546735" cy="539750"/>
                  <wp:effectExtent l="0" t="0" r="5715" b="0"/>
                  <wp:docPr id="187" name="图片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图片 18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2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t>平顶山学院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drawing>
                <wp:inline distT="0" distB="0" distL="0" distR="0">
                  <wp:extent cx="535940" cy="539750"/>
                  <wp:effectExtent l="0" t="0" r="0" b="0"/>
                  <wp:docPr id="189" name="图片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图片 18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t>张家口学院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drawing>
                <wp:inline distT="0" distB="0" distL="0" distR="0">
                  <wp:extent cx="557530" cy="539750"/>
                  <wp:effectExtent l="0" t="0" r="0" b="0"/>
                  <wp:docPr id="200" name="图片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图片 20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t>华北理工大学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drawing>
                <wp:inline distT="0" distB="0" distL="0" distR="0">
                  <wp:extent cx="557530" cy="539750"/>
                  <wp:effectExtent l="0" t="0" r="0" b="0"/>
                  <wp:docPr id="192" name="图片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图片 19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t>沧州交通学院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drawing>
                <wp:inline distT="0" distB="0" distL="0" distR="0">
                  <wp:extent cx="539750" cy="539750"/>
                  <wp:effectExtent l="0" t="0" r="0" b="0"/>
                  <wp:docPr id="191" name="图片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图片 19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t>辽宁理工学院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drawing>
                <wp:inline distT="0" distB="0" distL="0" distR="0">
                  <wp:extent cx="535940" cy="539750"/>
                  <wp:effectExtent l="0" t="0" r="0" b="0"/>
                  <wp:docPr id="193" name="图片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图片 19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t>天津财经大学珠江学院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drawing>
                <wp:inline distT="0" distB="0" distL="0" distR="0">
                  <wp:extent cx="543560" cy="539750"/>
                  <wp:effectExtent l="0" t="0" r="8890" b="0"/>
                  <wp:docPr id="194" name="图片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图片 194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6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t>哈尔滨石油学院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drawing>
                <wp:inline distT="0" distB="0" distL="0" distR="0">
                  <wp:extent cx="539750" cy="539750"/>
                  <wp:effectExtent l="0" t="0" r="0" b="0"/>
                  <wp:docPr id="195" name="图片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图片 19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t>河北科技师范学院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drawing>
                <wp:inline distT="0" distB="0" distL="0" distR="0">
                  <wp:extent cx="539750" cy="539750"/>
                  <wp:effectExtent l="0" t="0" r="0" b="0"/>
                  <wp:docPr id="196" name="图片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图片 19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t>沧州师范学院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drawing>
                <wp:inline distT="0" distB="0" distL="0" distR="0">
                  <wp:extent cx="557530" cy="539750"/>
                  <wp:effectExtent l="0" t="0" r="0" b="0"/>
                  <wp:docPr id="197" name="图片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图片 197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t>辽宁理工职业大学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drawing>
                <wp:inline distT="0" distB="0" distL="0" distR="0">
                  <wp:extent cx="539750" cy="539750"/>
                  <wp:effectExtent l="0" t="0" r="0" b="0"/>
                  <wp:docPr id="198" name="图片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图片 19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河北地质大学华信学院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drawing>
                <wp:inline distT="0" distB="0" distL="0" distR="0">
                  <wp:extent cx="535940" cy="539750"/>
                  <wp:effectExtent l="0" t="0" r="0" b="0"/>
                  <wp:docPr id="199" name="图片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图片 199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t>天津理工大学中环信息学院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drawing>
                <wp:inline distT="0" distB="0" distL="0" distR="0">
                  <wp:extent cx="539750" cy="539750"/>
                  <wp:effectExtent l="0" t="0" r="0" b="0"/>
                  <wp:docPr id="190" name="图片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图片 19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t>天津天狮学院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drawing>
                <wp:inline distT="0" distB="0" distL="0" distR="0">
                  <wp:extent cx="561340" cy="539750"/>
                  <wp:effectExtent l="0" t="0" r="0" b="0"/>
                  <wp:docPr id="23" name="图片 23" descr="辽宁理工学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辽宁理工学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6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辽宁理工学院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drawing>
                <wp:inline distT="0" distB="0" distL="0" distR="0">
                  <wp:extent cx="543560" cy="539750"/>
                  <wp:effectExtent l="0" t="0" r="8890" b="0"/>
                  <wp:docPr id="201" name="图片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图片 20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6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t>中北大学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drawing>
                <wp:inline distT="0" distB="0" distL="0" distR="0">
                  <wp:extent cx="539750" cy="539750"/>
                  <wp:effectExtent l="0" t="0" r="0" b="0"/>
                  <wp:docPr id="202" name="图片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图片 20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燕京理工学院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drawing>
                <wp:inline distT="0" distB="0" distL="0" distR="0">
                  <wp:extent cx="535940" cy="539750"/>
                  <wp:effectExtent l="0" t="0" r="0" b="0"/>
                  <wp:docPr id="203" name="图片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图片 20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t>唐山学院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</w:pPr>
            <w:r>
              <w:drawing>
                <wp:inline distT="0" distB="0" distL="0" distR="0">
                  <wp:extent cx="539750" cy="539750"/>
                  <wp:effectExtent l="0" t="0" r="0" b="0"/>
                  <wp:docPr id="204" name="图片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图片 204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山东财经大学东方学院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</w:pPr>
            <w:r>
              <w:drawing>
                <wp:inline distT="0" distB="0" distL="0" distR="0">
                  <wp:extent cx="550545" cy="539750"/>
                  <wp:effectExtent l="0" t="0" r="1905" b="0"/>
                  <wp:docPr id="205" name="图片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图片 20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8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t>天津科技大学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</w:pPr>
            <w:r>
              <w:drawing>
                <wp:inline distT="0" distB="0" distL="0" distR="0">
                  <wp:extent cx="539750" cy="539750"/>
                  <wp:effectExtent l="0" t="0" r="0" b="0"/>
                  <wp:docPr id="206" name="图片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图片 206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吉林财经大学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</w:pPr>
            <w:r>
              <w:drawing>
                <wp:inline distT="0" distB="0" distL="0" distR="0">
                  <wp:extent cx="539750" cy="539750"/>
                  <wp:effectExtent l="0" t="0" r="0" b="0"/>
                  <wp:docPr id="207" name="图片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图片 207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t>河北科技工程职业技术大学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</w:pPr>
            <w:r>
              <w:drawing>
                <wp:inline distT="0" distB="0" distL="0" distR="0">
                  <wp:extent cx="539750" cy="539750"/>
                  <wp:effectExtent l="0" t="0" r="0" b="0"/>
                  <wp:docPr id="208" name="图片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图片 208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河北东方学院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</w:pPr>
            <w:r>
              <w:drawing>
                <wp:inline distT="0" distB="0" distL="0" distR="0">
                  <wp:extent cx="539750" cy="539750"/>
                  <wp:effectExtent l="0" t="0" r="0" b="0"/>
                  <wp:docPr id="209" name="图片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图片 20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Courier New"/>
                <w:bCs/>
                <w:kern w:val="0"/>
                <w:sz w:val="24"/>
                <w:szCs w:val="24"/>
              </w:rPr>
              <w:t>兰州财经大学长青学院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</w:pPr>
            <w:r>
              <w:drawing>
                <wp:inline distT="0" distB="0" distL="0" distR="0">
                  <wp:extent cx="565150" cy="539750"/>
                  <wp:effectExtent l="0" t="0" r="6350" b="0"/>
                  <wp:docPr id="210" name="图片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图片 21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2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山西应用科技学院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</w:pPr>
            <w:r>
              <w:drawing>
                <wp:inline distT="0" distB="0" distL="0" distR="0">
                  <wp:extent cx="619125" cy="539750"/>
                  <wp:effectExtent l="0" t="0" r="0" b="0"/>
                  <wp:docPr id="211" name="图片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图片 21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Courier New"/>
                <w:bCs/>
                <w:kern w:val="0"/>
                <w:sz w:val="24"/>
                <w:szCs w:val="24"/>
              </w:rPr>
              <w:t>郑州升达经贸管理学院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</w:pPr>
            <w:r>
              <w:drawing>
                <wp:inline distT="0" distB="0" distL="0" distR="0">
                  <wp:extent cx="539750" cy="539750"/>
                  <wp:effectExtent l="0" t="0" r="0" b="0"/>
                  <wp:docPr id="212" name="图片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图片 21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哈尔滨远理工学院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right"/>
            </w:pPr>
            <w:r>
              <w:drawing>
                <wp:inline distT="0" distB="0" distL="0" distR="0">
                  <wp:extent cx="535940" cy="539750"/>
                  <wp:effectExtent l="0" t="0" r="0" b="0"/>
                  <wp:docPr id="213" name="图片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图片 213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Courier New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Courier New"/>
                <w:bCs/>
                <w:kern w:val="0"/>
                <w:sz w:val="24"/>
                <w:szCs w:val="24"/>
              </w:rPr>
              <w:t>河北金融学院</w:t>
            </w:r>
          </w:p>
        </w:tc>
      </w:tr>
    </w:tbl>
    <w:p>
      <w:pPr>
        <w:spacing w:line="360" w:lineRule="auto"/>
        <w:rPr>
          <w:rFonts w:ascii="黑体" w:hAnsi="黑体" w:eastAsia="黑体"/>
          <w:color w:val="FF0000"/>
          <w:sz w:val="28"/>
          <w:szCs w:val="28"/>
        </w:rPr>
      </w:pPr>
      <w:r>
        <w:rPr>
          <w:rFonts w:ascii="黑体" w:hAnsi="黑体" w:eastAsia="黑体"/>
          <w:color w:val="FF0000"/>
          <w:sz w:val="28"/>
          <w:szCs w:val="28"/>
        </w:rPr>
        <w:t>联系方式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地址：北京市昌平区北七家镇七北路42号TBD云集中心2号楼A座指南针大厦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电话 :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val="en-US" w:eastAsia="zh-CN"/>
        </w:rPr>
        <w:t>刘二艳</w:t>
      </w: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val="en-US" w:eastAsia="zh-CN"/>
        </w:rPr>
        <w:t>15711050961</w:t>
      </w:r>
      <w:r>
        <w:rPr>
          <w:rFonts w:ascii="宋体" w:hAnsi="宋体"/>
          <w:sz w:val="24"/>
        </w:rPr>
        <w:t xml:space="preserve"> 微信同号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公司官网：</w:t>
      </w:r>
      <w:r>
        <w:fldChar w:fldCharType="begin"/>
      </w:r>
      <w:r>
        <w:instrText xml:space="preserve"> HYPERLINK "http://www.compass.cn/" </w:instrText>
      </w:r>
      <w:r>
        <w:fldChar w:fldCharType="separate"/>
      </w:r>
      <w:r>
        <w:rPr>
          <w:rFonts w:ascii="宋体" w:hAnsi="宋体"/>
          <w:sz w:val="24"/>
        </w:rPr>
        <w:t>http://www.compass.cn/</w:t>
      </w:r>
      <w:r>
        <w:rPr>
          <w:rFonts w:ascii="宋体" w:hAnsi="宋体"/>
          <w:sz w:val="24"/>
        </w:rPr>
        <w:fldChar w:fldCharType="end"/>
      </w:r>
    </w:p>
    <w:p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产品官网：</w:t>
      </w:r>
      <w:r>
        <w:fldChar w:fldCharType="begin"/>
      </w:r>
      <w:r>
        <w:instrText xml:space="preserve"> HYPERLINK "http://www.znz888.cn/" </w:instrText>
      </w:r>
      <w:r>
        <w:fldChar w:fldCharType="separate"/>
      </w:r>
      <w:r>
        <w:rPr>
          <w:rFonts w:ascii="宋体" w:hAnsi="宋体"/>
          <w:sz w:val="24"/>
        </w:rPr>
        <w:t>http://www.znz888.cn/</w:t>
      </w:r>
      <w:r>
        <w:rPr>
          <w:rFonts w:ascii="宋体" w:hAnsi="宋体"/>
          <w:sz w:val="24"/>
        </w:rPr>
        <w:fldChar w:fldCharType="end"/>
      </w:r>
      <w:bookmarkStart w:id="1" w:name="_GoBack"/>
      <w:bookmarkEnd w:id="1"/>
    </w:p>
    <w:p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335280</wp:posOffset>
                </wp:positionV>
                <wp:extent cx="5735955" cy="4853940"/>
                <wp:effectExtent l="0" t="1905" r="0" b="0"/>
                <wp:wrapSquare wrapText="bothSides"/>
                <wp:docPr id="178" name="文本框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955" cy="485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0" distR="0">
                                  <wp:extent cx="5553075" cy="4629150"/>
                                  <wp:effectExtent l="0" t="0" r="9525" b="0"/>
                                  <wp:docPr id="177" name="图片 177" descr="公司地图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" name="图片 177" descr="公司地图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53075" cy="462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15pt;margin-top:26.4pt;height:382.2pt;width:451.65pt;mso-wrap-distance-bottom:3.6pt;mso-wrap-distance-left:9pt;mso-wrap-distance-right:9pt;mso-wrap-distance-top:3.6pt;mso-wrap-style:none;z-index:251659264;mso-width-relative:page;mso-height-relative:page;" fillcolor="#FFFFFF" filled="t" stroked="f" coordsize="21600,21600" o:gfxdata="UEsDBAoAAAAAAIdO4kAAAAAAAAAAAAAAAAAEAAAAZHJzL1BLAwQUAAAACACHTuJA0g2/NtgAAAAI&#10;AQAADwAAAGRycy9kb3ducmV2LnhtbE2PwU7DMBBE70j8g7VI3KidVE3bNE4PICQQUqUWPsCxt0nU&#10;2A6225S/ZznR42hGM2+q7dUO7IIh9t5JyGYCGDrtTe9aCV+fr08rYDEpZ9TgHUr4wQjb+v6uUqXx&#10;k9vj5ZBaRiUulkpCl9JYch51h1bFmR/RkXf0wapEMrTcBDVRuR14LkTBreodLXRqxOcO9elwthJe&#10;+tB8az9/K5Yfa73bx+P0vuNSPj5kYgMs4TX9h+EPn9ChJqbGn52JbJCQzykoYZHTAbLXYlEAaySs&#10;smUOvK747YH6F1BLAwQUAAAACACHTuJALlHbgiwCAABBBAAADgAAAGRycy9lMm9Eb2MueG1srVPN&#10;jtowEL5X6jtYvpcAS8oSEVZbEFWl7Y+07QMYx0msOh7LNiT0Ado32FMvvfe5eI6OHaCIXvbQHCKP&#10;Z/zNfN/MzO+6RpGdsE6CzuloMKREaA6F1FVOv3xev7qlxHmmC6ZAi5zuhaN3i5cv5q3JxBhqUIWw&#10;BEG0y1qT09p7kyWJ47VomBuAERqdJdiGeTRtlRSWtYjeqGQ8HL5OWrCFscCFc3i76p30iGifAwhl&#10;KblYAd82Qvse1QrFPFJytTSOLmK1ZSm4/1iWTniicopMffxjEjxvwj9ZzFlWWWZqyY8lsOeUcMWp&#10;YVJj0jPUinlGtlb+A9VIbsFB6QccmqQnEhVBFqPhlTaPNTMickGpnTmL7v4fLP+w+2SJLHASpth4&#10;zRps+eHpx+Hn78Ov7yRcokStcRlGPhqM9d0b6DA80nXmAfhXRzQsa6YrcW8ttLVgBZY4Ci+Ti6c9&#10;jgsgm/Y9FJiJbT1EoK60TdAPFSGIju3Zn9sjOk84XqbTm3SWppRw9E1u05vZJDYwYdnpubHOvxXQ&#10;kHDIqcX+R3i2e3A+lMOyU0jI5kDJYi2VioatNktlyY7hrKzjFxlchSkdgjWEZz1iuIk8A7WepO82&#10;3VG3DRR7ZGyhnz3cPDzUYL9R0uLc5VTjmlGi3mnUbDaaICfiozFJp2M07KVnc+lhmiNQTj0l/XHp&#10;+9HeGiurGvOcunSPOq9lVCA0pK/pWDVOVhTmuAVhdC/tGPV38xd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NINvzbYAAAACAEAAA8AAAAAAAAAAQAgAAAAIgAAAGRycy9kb3ducmV2LnhtbFBLAQIU&#10;ABQAAAAIAIdO4kAuUduCLAIAAEEEAAAOAAAAAAAAAAEAIAAAACcBAABkcnMvZTJvRG9jLnhtbFBL&#10;BQYAAAAABgAGAFkBAADFBQAAAAA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r>
                        <w:drawing>
                          <wp:inline distT="0" distB="0" distL="0" distR="0">
                            <wp:extent cx="5553075" cy="4629150"/>
                            <wp:effectExtent l="0" t="0" r="9525" b="0"/>
                            <wp:docPr id="177" name="图片 177" descr="公司地图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" name="图片 177" descr="公司地图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53075" cy="462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spacing w:line="360" w:lineRule="auto"/>
        <w:rPr>
          <w:rFonts w:ascii="黑体" w:hAnsi="黑体" w:eastAsia="黑体"/>
          <w:color w:val="FF0000"/>
          <w:sz w:val="28"/>
          <w:szCs w:val="28"/>
        </w:rPr>
      </w:pPr>
    </w:p>
    <w:sectPr>
      <w:pgSz w:w="11906" w:h="16838"/>
      <w:pgMar w:top="1440" w:right="1077" w:bottom="1440" w:left="1077" w:header="79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S Mincho">
    <w:altName w:val="MS Gothic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Segoe MDL2 Assets">
    <w:panose1 w:val="050A0102010101010101"/>
    <w:charset w:val="00"/>
    <w:family w:val="roman"/>
    <w:pitch w:val="default"/>
    <w:sig w:usb0="00000000" w:usb1="1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32494405"/>
      <w:docPartObj>
        <w:docPartGallery w:val="AutoText"/>
      </w:docPartObj>
    </w:sdtPr>
    <w:sdtContent>
      <w:sdt>
        <w:sdtPr>
          <w:id w:val="-1769616900"/>
          <w:docPartObj>
            <w:docPartGallery w:val="AutoText"/>
          </w:docPartObj>
        </w:sdtPr>
        <w:sdtContent>
          <w:p>
            <w:pPr>
              <w:pStyle w:val="2"/>
              <w:jc w:val="right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4"/>
        <w:szCs w:val="24"/>
      </w:rPr>
    </w:pPr>
    <w:r>
      <w:rPr>
        <w:sz w:val="24"/>
        <w:szCs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-94615</wp:posOffset>
              </wp:positionV>
              <wp:extent cx="1133475" cy="647700"/>
              <wp:effectExtent l="0" t="0" r="9525" b="0"/>
              <wp:wrapNone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r>
                            <w:drawing>
                              <wp:inline distT="0" distB="0" distL="0" distR="0">
                                <wp:extent cx="894080" cy="361315"/>
                                <wp:effectExtent l="0" t="0" r="1270" b="635"/>
                                <wp:docPr id="2" name="图片 2" descr="logo-指南针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图片 2" descr="logo-指南针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94080" cy="36165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0.15pt;margin-top:-7.45pt;height:51pt;width:89.25pt;z-index:251661312;mso-width-relative:page;mso-height-relative:page;" fillcolor="#FFFFFF" filled="t" stroked="f" coordsize="21600,21600" o:gfxdata="UEsDBAoAAAAAAIdO4kAAAAAAAAAAAAAAAAAEAAAAZHJzL1BLAwQUAAAACACHTuJAniyFm9UAAAAH&#10;AQAADwAAAGRycy9kb3ducmV2LnhtbE2PQW+CQBSE7036HzbPpJdGF1oVRB4mbdKmV60/4AFPIGXf&#10;EnYV/fddT+1xMpOZb/Ld1fTqwqPrrCDEiwgUS2XrThqE4/fHPAXlPElNvRVGuLGDXfH4kFNW20n2&#10;fDn4RoUScRkhtN4PmdauatmQW9iBJXgnOxryQY6NrkeaQrnp9UsUrbWhTsJCSwO/t1z9HM4G4fQ1&#10;Pa82U/npj8l+uX6jLintDfFpFkdbUJ6v/i8Md/yADkVgKu1Zaqd6hNeQQ5jHyw2ou52k4UmJkCYx&#10;6CLX//mLX1BLAwQUAAAACACHTuJAqILCijsCAABUBAAADgAAAGRycy9lMm9Eb2MueG1srVRLbtsw&#10;EN0X6B0I7mvZjh0nguUgteGiQPoB0h6ApiiLKMlhSdpSeoDmBl11033P5XN0SCmu4W6yqBYCRzPz&#10;Zt6boeY3rVZkL5yXYAo6GgwpEYZDKc22oJ8/rV9dUeIDMyVTYERBH4SnN4uXL+aNzcUYalClcARB&#10;jM8bW9A6BJtnmee10MwPwAqDzgqcZgFNt81KxxpE1yobD4eXWQOutA648B6/rjon7RHdcwChqiQX&#10;K+A7LUzoUJ1QLCAlX0vr6SJ1W1WChw9V5UUgqqDINKQ3FsHzJr6zxZzlW8dsLXnfAntOC2ecNJMG&#10;ix6hViwwsnPyHygtuQMPVRhw0FlHJCmCLEbDM23ua2ZF4oJSe3sU3f8/WP5+/9ERWRZ0PJpRYpjG&#10;kR9+PB5+/j78+k7GUaDG+hzj7i1GhvY1tLg2iay3d8C/eGJgWTOzFbfOQVMLVmKDo5iZnaR2OD6C&#10;bJp3UGIdtguQgNrK6age6kEQHYfzcByOaAPhseTo4mIym1LC0Xc5mc2GaXoZy5+yrfPhjQBN4qGg&#10;Doef0Nn+zofYDcufQmIxD0qWa6lUMtx2s1SO7Bkuyjo9icBZmDKkKej1dDxNyAZiftohLQNeCyV1&#10;Qa+G8enTlelliMw7DUK7aXtZN1A+oCAOusXEa4mHGtw3ShpcyoL6rzvmBCXqrUFRr0eTSdziZEym&#10;szEa7tSzOfUwwxGqoIGS7rgMafMjXwO3KH4lky5xSl0nfa+4bEmu/mLEbT61U9Tfn8Hi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J4shZvVAAAABwEAAA8AAAAAAAAAAQAgAAAAIgAAAGRycy9kb3du&#10;cmV2LnhtbFBLAQIUABQAAAAIAIdO4kCogsKKOwIAAFQEAAAOAAAAAAAAAAEAIAAAACQBAABkcnMv&#10;ZTJvRG9jLnhtbFBLBQYAAAAABgAGAFkBAADRBQAAAAA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r>
                      <w:drawing>
                        <wp:inline distT="0" distB="0" distL="0" distR="0">
                          <wp:extent cx="894080" cy="361315"/>
                          <wp:effectExtent l="0" t="0" r="1270" b="635"/>
                          <wp:docPr id="2" name="图片 2" descr="logo-指南针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图片 2" descr="logo-指南针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94080" cy="3616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sz w:val="24"/>
        <w:szCs w:val="24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5173980</wp:posOffset>
              </wp:positionH>
              <wp:positionV relativeFrom="paragraph">
                <wp:posOffset>-384175</wp:posOffset>
              </wp:positionV>
              <wp:extent cx="1700530" cy="1024255"/>
              <wp:effectExtent l="0" t="0" r="0" b="24130"/>
              <wp:wrapNone/>
              <wp:docPr id="168" name="组 1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s:wsp>
                      <wps:cNvPr id="169" name="矩形 169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70" name="矩形 12"/>
                      <wps:cNvSpPr/>
                      <wps:spPr>
                        <a:xfrm>
                          <a:off x="0" y="0"/>
                          <a:ext cx="1463040" cy="1014984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638269 w 1462822"/>
                            <a:gd name="connsiteY3" fmla="*/ 407899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1462822" y="1014481"/>
                              </a:lnTo>
                              <a:lnTo>
                                <a:pt x="638269" y="4078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171" name="矩形 171"/>
                      <wps:cNvSpPr/>
                      <wps:spPr>
                        <a:xfrm>
                          <a:off x="0" y="0"/>
                          <a:ext cx="1472184" cy="1024128"/>
                        </a:xfrm>
                        <a:prstGeom prst="rect">
                          <a:avLst/>
                        </a:prstGeom>
                        <a:blipFill>
                          <a:blip r:embed="rId2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 168" o:spid="_x0000_s1026" o:spt="203" style="position:absolute;left:0pt;margin-left:407.4pt;margin-top:-30.25pt;height:80.65pt;width:133.9pt;z-index:251660288;mso-width-relative:page;mso-height-relative:page;" coordsize="1700784,1024128" o:gfxdata="UEsDBAoAAAAAAIdO4kAAAAAAAAAAAAAAAAAEAAAAZHJzL1BLAwQUAAAACACHTuJAq7yaMdsAAAAM&#10;AQAADwAAAGRycy9kb3ducmV2LnhtbE2PwWrDMBBE74X8g9hAb4mktDHGtRxKaHsKhSaF0tvG2tgm&#10;lmQsxU7+vvKpue2ww8ybfHM1LRuo942zCuRSACNbOt3YSsH34X2RAvMBrcbWWVJwIw+bYvaQY6bd&#10;aL9o2IeKxRDrM1RQh9BlnPuyJoN+6Tqy8XdyvcEQZV9x3eMYw03LV0Ik3GBjY0ONHW1rKs/7i1Hw&#10;MeL4+iTfht35tL39HtafPztJSj3OpXgBFuga/s0w4Ud0KCLT0V2s9qxVkMrniB4ULBKxBjY5RLpK&#10;gB2nS6TAi5zfjyj+AFBLAwQUAAAACACHTuJA7yQp0KQEAAAiEQAADgAAAGRycy9lMm9Eb2MueG1s&#10;7VjLbuM2FN0X6D8QWhZoLCmOX4gzyCRNMEDQCZop2i5pmrIEUCRL0nHSdf+jQHf9hqKfU/Q3ekhK&#10;ipwEsCczmFWysEjx8j7OfSrHb+5qQW65sZWS8yQ7SBPCJVPLSq7myY8fLr6dJMQ6KpdUKMnnyT23&#10;yZuTr7863ugZz1WpxJIbAibSzjZ6npTO6dlgYFnJa2oPlOYSh4UyNXXYmtVgaegG3GsxyNN0NNgo&#10;s9RGMW4t3p7Hw6ThaPZhqIqiYvxcsXXNpYtcDRfUwSRbVtomJ0HbouDMvS8Kyx0R8wSWuvALIVgv&#10;/O/g5JjOVobqsmKNCnQfFR7ZVNNKQmjH6pw6StamesKqrphRVhXugKl6EA0JiMCKLH2EzaVRax1s&#10;Wc02K92BDkc9Qv3FbNn3t9eGVEtEwgiOl7SGy//7+3fitwBno1cz0FwafaOvTfNiFXfe3rvC1P4J&#10;S8hdgPW+g5XfOcLwMhun6XgyTAjDWZbmwywPvOmMlfDOk3us/G7HzUEreOD169TZaISkfcDJfhpO&#10;NyXVPMBvPQYdTtMOpz/++vefPwHVNEIVyDqc7MwCsk8FqTOVzrSx7pKrmvjFPDEI7hBz9PbKOrgG&#10;pC2Jl2qVqJYXlRBhY1aLM2HILUUiXIS/eFfoksa3IRnAw0bSwG+Lh5BkAwfmcCd8SZH7BXIOy1oj&#10;fqxcJYSKFYoKcyYwl8qLDynmFTuntoyiAtuYe3XlUE5EVc+TSer//GtoISQe3qERRL9aqOU9nGBU&#10;zGKr2UUFtlfUumtqkLZQC4XNvcdPIRR0Vc0qIaUyvz333tMjSnCakA3KAOz4dU0NT4h4JxE/02w4&#10;9HUjbIZH4xwb0z9Z9E/kuj5TADhDCdUsLD29E+2yMKr+CfXv1EvFEZUMsiNizebMxfKECsr46Wkg&#10;Q63Q1F3JG808c+9QqU7XThVVcPwDOg1oyAKfu18iHcYwoykbTTrknyEbhqPD1AMfS0Y2nKJ+xMBo&#10;Kw5bx2zwYLQZgPq7RC74V6tloxVTUloE2c/gVtQCYfLNgKRkQ7LhKJ/kQdlnyH/ZJi9JliIUJlmM&#10;2qfc4fKOe8N5t4z+pZTslJG/RMbWpWjDbkmHPUmjw0k+mu42pn9niII/ne6Wg6bQobaHT7bJt/BC&#10;yeh8T8tYENFg7mQTD1ghwdA505A+Wlnfd/rBgebUbuH8GGy45YNpx2W4sX85xAj02e8y/NO/HOJx&#10;78vAvH/58KPUBpr9y22CBbWjBg12vtP4AUqEAQoVHxXKhAFqEdMBxclD7qHyy9Ammuwipe/5MXX8&#10;eY2a/EEFSveo80Pmw6mQfao2V73CrW9aivapA78+ZSu37SiR4zZ9jO6ARAzaBsKWqn1G7igKz2jA&#10;hLI8CvHmh/7VQeKR7JWq0Pqe7cpHb6dvz48a8Vtkr433tfGiavl+3ptDxyg7240XbxCFDdlL59Dh&#10;OM+eGdYRxm3nbYfMPefQhah0G/B+/Xm/9IiZ8XrBMYCad8umO1tnuGPIQzorMID+gPIVs7M7gDV9&#10;tT46wbbSsxmYt2brRl5/BH8dgcMs+0VH4PB9iE/nUJKbz3z/bd7fh5H54V8bJ/8DUEsDBAoAAAAA&#10;AIdO4kAAAAAAAAAAAAAAAAAKAAAAZHJzL21lZGlhL1BLAwQUAAAACACHTuJAoj3WLfUaAADwGgAA&#10;FAAAAGRycy9tZWRpYS9pbWFnZTEucG5nAfAaD+W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fCMAAFtDb250ZW50X1R5cGVzXS54bWxQSwEC&#10;FAAKAAAAAACHTuJAAAAAAAAAAAAAAAAABgAAAAAAAAAAABAAAABJIQAAX3JlbHMvUEsBAhQAFAAA&#10;AAgAh07iQIoUZjzRAAAAlAEAAAsAAAAAAAAAAQAgAAAAbSEAAF9yZWxzLy5yZWxzUEsBAhQACgAA&#10;AAAAh07iQAAAAAAAAAAAAAAAAAQAAAAAAAAAAAAQAAAAAAAAAGRycy9QSwECFAAKAAAAAACHTuJA&#10;AAAAAAAAAAAAAAAACgAAAAAAAAAAABAAAABnIgAAZHJzL19yZWxzL1BLAQIUABQAAAAIAIdO4kCq&#10;Jg6+tgAAACEBAAAZAAAAAAAAAAEAIAAAAI8iAABkcnMvX3JlbHMvZTJvRG9jLnhtbC5yZWxzUEsB&#10;AhQAFAAAAAgAh07iQKu8mjHbAAAADAEAAA8AAAAAAAAAAQAgAAAAIgAAAGRycy9kb3ducmV2Lnht&#10;bFBLAQIUABQAAAAIAIdO4kDvJCnQpAQAACIRAAAOAAAAAAAAAAEAIAAAACoBAABkcnMvZTJvRG9j&#10;LnhtbFBLAQIUAAoAAAAAAIdO4kAAAAAAAAAAAAAAAAAKAAAAAAAAAAAAEAAAAPoFAABkcnMvbWVk&#10;aWEvUEsBAhQAFAAAAAgAh07iQKI91i31GgAA8BoAABQAAAAAAAAAAQAgAAAAIgYAAGRycy9tZWRp&#10;YS9pbWFnZTEucG5nUEsFBgAAAAAKAAoAUgIAALEkAAAAAA==&#10;">
              <o:lock v:ext="edit" aspectratio="f"/>
              <v:rect id="_x0000_s1026" o:spid="_x0000_s1026" o:spt="1" style="position:absolute;left:0;top:0;height:1024128;width:1700784;v-text-anchor:middle;" fillcolor="#FFFFFF [3212]" filled="t" stroked="f" coordsize="21600,21600" o:gfxdata="UEsDBAoAAAAAAIdO4kAAAAAAAAAAAAAAAAAEAAAAZHJzL1BLAwQUAAAACACHTuJAz/xLob0AAADc&#10;AAAADwAAAGRycy9kb3ducmV2LnhtbEVPS2vCQBC+F/oflil4q5sIphpdPQiSHgqlGnIespMHZmdj&#10;dpuk/fXdQqG3+fiesz/OphMjDa61rCBeRiCIS6tbrhXk1/PzBoTzyBo7y6TgixwcD48Pe0y1nfiD&#10;xouvRQhhl6KCxvs+ldKVDRl0S9sTB66yg0Ef4FBLPeAUwk0nV1GUSIMth4YGezo1VN4un0bBy/07&#10;O1dZv8rH/J0rLIq3eF0otXiKox0IT7P/F/+5X3WYn2zh95lwgTz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/EuhvQAA&#10;ANwAAAAPAAAAAAAAAAEAIAAAACIAAABkcnMvZG93bnJldi54bWxQSwECFAAUAAAACACHTuJAMy8F&#10;njsAAAA5AAAAEAAAAAAAAAABACAAAAAMAQAAZHJzL3NoYXBleG1sLnhtbFBLBQYAAAAABgAGAFsB&#10;AAC2AwAAAAA=&#10;">
                <v:fill on="t" opacity="0f" focussize="0,0"/>
                <v:stroke on="f" weight="1pt" miterlimit="8" joinstyle="miter"/>
                <v:imagedata o:title=""/>
                <o:lock v:ext="edit" aspectratio="f"/>
              </v:rect>
              <v:shape id="矩形 12" o:spid="_x0000_s1026" o:spt="100" style="position:absolute;left:0;top:0;height:1014984;width:1463040;v-text-anchor:middle;" fillcolor="#5B9BD5 [3204]" filled="t" stroked="f" coordsize="1462822,1014481" o:gfxdata="UEsDBAoAAAAAAIdO4kAAAAAAAAAAAAAAAAAEAAAAZHJzL1BLAwQUAAAACACHTuJAtrUbpsAAAADc&#10;AAAADwAAAGRycy9kb3ducmV2LnhtbEWPT2vCQBDF74LfYRmhF9FNRKpNXT0UW7wV/4Aeh+yYpM3O&#10;huw2pn76zqHgbYb35r3frDa9q1VHbag8G0inCSji3NuKCwOn4/tkCSpEZIu1ZzLwSwE26+FghZn1&#10;N95Td4iFkhAOGRooY2wyrUNeksMw9Q2xaFffOoyytoW2Ld4k3NV6liTP2mHF0lBiQ28l5d+HH2dg&#10;O2/2d3d82V7H6e5r9vF5OffdxZinUZq8gorUx4f5/3pnBX8h+PKMTKD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2tRum&#10;wAAAANwAAAAPAAAAAAAAAAEAIAAAACIAAABkcnMvZG93bnJldi54bWxQSwECFAAUAAAACACHTuJA&#10;My8FnjsAAAA5AAAAEAAAAAAAAAABACAAAAAPAQAAZHJzL3NoYXBleG1sLnhtbFBLBQYAAAAABgAG&#10;AFsBAAC5AwAAAAA=&#10;" path="m0,0l1462822,0,1462822,1014481,638269,407899,0,0xe">
                <v:path o:connectlocs="0,0;1463040,0;1463040,1014984;638364,408101;0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  <v:rect id="_x0000_s1026" o:spid="_x0000_s1026" o:spt="1" style="position:absolute;left:0;top:0;height:1024128;width:1472184;v-text-anchor:middle;" filled="t" stroked="t" coordsize="21600,21600" o:gfxdata="UEsDBAoAAAAAAIdO4kAAAAAAAAAAAAAAAAAEAAAAZHJzL1BLAwQUAAAACACHTuJAV+zPFbwAAADc&#10;AAAADwAAAGRycy9kb3ducmV2LnhtbEVPS4vCMBC+C/6HMII3TbugK7Wp4Av2IMhaPXgbmrGtNpPS&#10;ZNX992Zhwdt8fM9JF0/TiDt1rrasIB5HIIgLq2suFRzz7WgGwnlkjY1lUvBLDhZZv5diou2Dv+l+&#10;8KUIIewSVFB53yZSuqIig25sW+LAXWxn0AfYlVJ3+AjhppEfUTSVBmsODRW2tKqouB1+jILtbH/W&#10;eV5O/PK8PrX2etrsNrFSw0EczUF4evq3+N/9pcP8zxj+ngkXyO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fszxW8AAAA&#10;3AAAAA8AAAAAAAAAAQAgAAAAIgAAAGRycy9kb3ducmV2LnhtbFBLAQIUABQAAAAIAIdO4kAzLwWe&#10;OwAAADkAAAAQAAAAAAAAAAEAIAAAAAsBAABkcnMvc2hhcGV4bWwueG1sUEsFBgAAAAAGAAYAWwEA&#10;ALUDAAAAAA==&#10;">
                <v:fill type="frame" on="t" focussize="0,0" recolor="t" rotate="t" r:id="rId2"/>
                <v:stroke weight="1pt" color="#FFFFFF [3212]" miterlimit="8" joinstyle="miter"/>
                <v:imagedata o:title=""/>
                <o:lock v:ext="edit" aspectratio="f"/>
              </v:rect>
            </v:group>
          </w:pict>
        </mc:Fallback>
      </mc:AlternateContent>
    </w:r>
    <w:r>
      <w:rPr>
        <w:sz w:val="24"/>
        <w:szCs w:val="24"/>
      </w:rPr>
      <w:t>北京指南针科技发展股份有限公司（股票代码</w:t>
    </w:r>
    <w:r>
      <w:rPr>
        <w:rFonts w:hint="eastAsia"/>
        <w:sz w:val="24"/>
        <w:szCs w:val="24"/>
      </w:rPr>
      <w:t>3</w:t>
    </w:r>
    <w:r>
      <w:rPr>
        <w:sz w:val="24"/>
        <w:szCs w:val="24"/>
      </w:rPr>
      <w:t>00803）</w:t>
    </w:r>
  </w:p>
  <w:p>
    <w:pPr>
      <w:pStyle w:val="3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multilevel"/>
    <w:tmpl w:val="00000004"/>
    <w:lvl w:ilvl="0" w:tentative="0">
      <w:start w:val="1"/>
      <w:numFmt w:val="bullet"/>
      <w:lvlText w:val=""/>
      <w:lvlJc w:val="left"/>
      <w:pPr>
        <w:ind w:left="1126" w:hanging="420"/>
      </w:pPr>
      <w:rPr>
        <w:rFonts w:hint="default" w:ascii="Wingdings" w:hAnsi="Wingdings"/>
      </w:rPr>
    </w:lvl>
    <w:lvl w:ilvl="1" w:tentative="0">
      <w:start w:val="1"/>
      <w:numFmt w:val="bullet"/>
      <w:lvlRestart w:val="0"/>
      <w:lvlText w:val=""/>
      <w:lvlJc w:val="left"/>
      <w:pPr>
        <w:ind w:left="1546" w:hanging="420"/>
      </w:pPr>
      <w:rPr>
        <w:rFonts w:hint="default" w:ascii="Wingdings" w:hAnsi="Wingdings"/>
      </w:rPr>
    </w:lvl>
    <w:lvl w:ilvl="2" w:tentative="0">
      <w:start w:val="1"/>
      <w:numFmt w:val="bullet"/>
      <w:lvlRestart w:val="0"/>
      <w:lvlText w:val=""/>
      <w:lvlJc w:val="left"/>
      <w:pPr>
        <w:ind w:left="1966" w:hanging="420"/>
      </w:pPr>
      <w:rPr>
        <w:rFonts w:hint="default" w:ascii="Wingdings" w:hAnsi="Wingdings"/>
      </w:rPr>
    </w:lvl>
    <w:lvl w:ilvl="3" w:tentative="0">
      <w:start w:val="1"/>
      <w:numFmt w:val="bullet"/>
      <w:lvlRestart w:val="0"/>
      <w:lvlText w:val=""/>
      <w:lvlJc w:val="left"/>
      <w:pPr>
        <w:ind w:left="2386" w:hanging="420"/>
      </w:pPr>
      <w:rPr>
        <w:rFonts w:hint="default" w:ascii="Wingdings" w:hAnsi="Wingdings"/>
      </w:rPr>
    </w:lvl>
    <w:lvl w:ilvl="4" w:tentative="0">
      <w:start w:val="1"/>
      <w:numFmt w:val="bullet"/>
      <w:lvlRestart w:val="0"/>
      <w:lvlText w:val=""/>
      <w:lvlJc w:val="left"/>
      <w:pPr>
        <w:ind w:left="2806" w:hanging="420"/>
      </w:pPr>
      <w:rPr>
        <w:rFonts w:hint="default" w:ascii="Wingdings" w:hAnsi="Wingdings"/>
      </w:rPr>
    </w:lvl>
    <w:lvl w:ilvl="5" w:tentative="0">
      <w:start w:val="1"/>
      <w:numFmt w:val="bullet"/>
      <w:lvlRestart w:val="0"/>
      <w:lvlText w:val=""/>
      <w:lvlJc w:val="left"/>
      <w:pPr>
        <w:ind w:left="3226" w:hanging="420"/>
      </w:pPr>
      <w:rPr>
        <w:rFonts w:hint="default" w:ascii="Wingdings" w:hAnsi="Wingdings"/>
      </w:rPr>
    </w:lvl>
    <w:lvl w:ilvl="6" w:tentative="0">
      <w:start w:val="1"/>
      <w:numFmt w:val="bullet"/>
      <w:lvlRestart w:val="0"/>
      <w:lvlText w:val=""/>
      <w:lvlJc w:val="left"/>
      <w:pPr>
        <w:ind w:left="3646" w:hanging="420"/>
      </w:pPr>
      <w:rPr>
        <w:rFonts w:hint="default" w:ascii="Wingdings" w:hAnsi="Wingdings"/>
      </w:rPr>
    </w:lvl>
    <w:lvl w:ilvl="7" w:tentative="0">
      <w:start w:val="1"/>
      <w:numFmt w:val="bullet"/>
      <w:lvlRestart w:val="0"/>
      <w:lvlText w:val=""/>
      <w:lvlJc w:val="left"/>
      <w:pPr>
        <w:ind w:left="4066" w:hanging="420"/>
      </w:pPr>
      <w:rPr>
        <w:rFonts w:hint="default" w:ascii="Wingdings" w:hAnsi="Wingdings"/>
      </w:rPr>
    </w:lvl>
    <w:lvl w:ilvl="8" w:tentative="0">
      <w:start w:val="1"/>
      <w:numFmt w:val="bullet"/>
      <w:lvlRestart w:val="0"/>
      <w:lvlText w:val=""/>
      <w:lvlJc w:val="left"/>
      <w:pPr>
        <w:ind w:left="4486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ZkMmRiYzQ1OTJmODA2MTI4NzA5ZDg4NjUxOWZkYzYifQ=="/>
  </w:docVars>
  <w:rsids>
    <w:rsidRoot w:val="00A171D8"/>
    <w:rsid w:val="000255FA"/>
    <w:rsid w:val="000334DB"/>
    <w:rsid w:val="00084FD5"/>
    <w:rsid w:val="00133AE5"/>
    <w:rsid w:val="00152F3C"/>
    <w:rsid w:val="001609D9"/>
    <w:rsid w:val="00163E51"/>
    <w:rsid w:val="00191FFB"/>
    <w:rsid w:val="001B17DF"/>
    <w:rsid w:val="001D4CCA"/>
    <w:rsid w:val="0021124E"/>
    <w:rsid w:val="002470DE"/>
    <w:rsid w:val="002652B1"/>
    <w:rsid w:val="00276BD0"/>
    <w:rsid w:val="00277C7B"/>
    <w:rsid w:val="00283C82"/>
    <w:rsid w:val="00286A25"/>
    <w:rsid w:val="00290B3F"/>
    <w:rsid w:val="00297537"/>
    <w:rsid w:val="002C28DF"/>
    <w:rsid w:val="002E438D"/>
    <w:rsid w:val="00300F7E"/>
    <w:rsid w:val="00306723"/>
    <w:rsid w:val="00321210"/>
    <w:rsid w:val="00333C3F"/>
    <w:rsid w:val="003508C7"/>
    <w:rsid w:val="00366AE3"/>
    <w:rsid w:val="00377DC4"/>
    <w:rsid w:val="00393681"/>
    <w:rsid w:val="003A3DD0"/>
    <w:rsid w:val="003B0827"/>
    <w:rsid w:val="003B592D"/>
    <w:rsid w:val="003C7F4C"/>
    <w:rsid w:val="003D6732"/>
    <w:rsid w:val="003F2E58"/>
    <w:rsid w:val="003F3DC7"/>
    <w:rsid w:val="003F566D"/>
    <w:rsid w:val="00401686"/>
    <w:rsid w:val="004110BB"/>
    <w:rsid w:val="004171E6"/>
    <w:rsid w:val="00417380"/>
    <w:rsid w:val="0043592B"/>
    <w:rsid w:val="004533C3"/>
    <w:rsid w:val="00460AA1"/>
    <w:rsid w:val="004D509F"/>
    <w:rsid w:val="00532B21"/>
    <w:rsid w:val="00532F2E"/>
    <w:rsid w:val="00551C13"/>
    <w:rsid w:val="00552E09"/>
    <w:rsid w:val="00581B25"/>
    <w:rsid w:val="005C3AE5"/>
    <w:rsid w:val="005D75AC"/>
    <w:rsid w:val="005E6ED1"/>
    <w:rsid w:val="005E7760"/>
    <w:rsid w:val="005E7AC9"/>
    <w:rsid w:val="00617A72"/>
    <w:rsid w:val="00620D41"/>
    <w:rsid w:val="00633562"/>
    <w:rsid w:val="0064072B"/>
    <w:rsid w:val="006528BD"/>
    <w:rsid w:val="006A311D"/>
    <w:rsid w:val="006A5DAE"/>
    <w:rsid w:val="006B7440"/>
    <w:rsid w:val="006C0C10"/>
    <w:rsid w:val="00703B06"/>
    <w:rsid w:val="00732388"/>
    <w:rsid w:val="00745FCD"/>
    <w:rsid w:val="0074609E"/>
    <w:rsid w:val="00766E43"/>
    <w:rsid w:val="00776F94"/>
    <w:rsid w:val="007B6297"/>
    <w:rsid w:val="007E7F35"/>
    <w:rsid w:val="00820EDA"/>
    <w:rsid w:val="0082621E"/>
    <w:rsid w:val="008310CE"/>
    <w:rsid w:val="00833C05"/>
    <w:rsid w:val="0084083E"/>
    <w:rsid w:val="00840B85"/>
    <w:rsid w:val="00852C30"/>
    <w:rsid w:val="008862EE"/>
    <w:rsid w:val="008B7D80"/>
    <w:rsid w:val="008D7684"/>
    <w:rsid w:val="008E48AF"/>
    <w:rsid w:val="0091157C"/>
    <w:rsid w:val="009124BB"/>
    <w:rsid w:val="0092362C"/>
    <w:rsid w:val="00944331"/>
    <w:rsid w:val="00947F89"/>
    <w:rsid w:val="009671E6"/>
    <w:rsid w:val="009906D4"/>
    <w:rsid w:val="009927A7"/>
    <w:rsid w:val="009B4744"/>
    <w:rsid w:val="009D168F"/>
    <w:rsid w:val="009D4491"/>
    <w:rsid w:val="00A14BA0"/>
    <w:rsid w:val="00A171D8"/>
    <w:rsid w:val="00A364FD"/>
    <w:rsid w:val="00A406E2"/>
    <w:rsid w:val="00A44B26"/>
    <w:rsid w:val="00A712AC"/>
    <w:rsid w:val="00A84E4A"/>
    <w:rsid w:val="00A94F96"/>
    <w:rsid w:val="00A96766"/>
    <w:rsid w:val="00AA06DD"/>
    <w:rsid w:val="00AA5F79"/>
    <w:rsid w:val="00AC03F6"/>
    <w:rsid w:val="00AE0E51"/>
    <w:rsid w:val="00B00F42"/>
    <w:rsid w:val="00B30257"/>
    <w:rsid w:val="00B674D3"/>
    <w:rsid w:val="00B75853"/>
    <w:rsid w:val="00BA2911"/>
    <w:rsid w:val="00BB70FA"/>
    <w:rsid w:val="00BD16CC"/>
    <w:rsid w:val="00C25134"/>
    <w:rsid w:val="00C66ECF"/>
    <w:rsid w:val="00C712D2"/>
    <w:rsid w:val="00C71DAC"/>
    <w:rsid w:val="00C73E63"/>
    <w:rsid w:val="00C73EFE"/>
    <w:rsid w:val="00C806E7"/>
    <w:rsid w:val="00C82956"/>
    <w:rsid w:val="00C86CB7"/>
    <w:rsid w:val="00C9162C"/>
    <w:rsid w:val="00CA161E"/>
    <w:rsid w:val="00CB4955"/>
    <w:rsid w:val="00CE5EF3"/>
    <w:rsid w:val="00D07533"/>
    <w:rsid w:val="00D1497F"/>
    <w:rsid w:val="00D41053"/>
    <w:rsid w:val="00D522FC"/>
    <w:rsid w:val="00D56FDB"/>
    <w:rsid w:val="00DA289E"/>
    <w:rsid w:val="00E2155B"/>
    <w:rsid w:val="00E6050C"/>
    <w:rsid w:val="00E73903"/>
    <w:rsid w:val="00E73994"/>
    <w:rsid w:val="00E80029"/>
    <w:rsid w:val="00E93EA5"/>
    <w:rsid w:val="00EA5697"/>
    <w:rsid w:val="00ED3233"/>
    <w:rsid w:val="00F00750"/>
    <w:rsid w:val="00F05792"/>
    <w:rsid w:val="00F35B39"/>
    <w:rsid w:val="00F41B19"/>
    <w:rsid w:val="00F421DF"/>
    <w:rsid w:val="00F67A7F"/>
    <w:rsid w:val="00F8151F"/>
    <w:rsid w:val="00F845FE"/>
    <w:rsid w:val="00FA41A6"/>
    <w:rsid w:val="00FA6C24"/>
    <w:rsid w:val="00FF355A"/>
    <w:rsid w:val="10F1501F"/>
    <w:rsid w:val="23B64CC2"/>
    <w:rsid w:val="374C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  <w:style w:type="paragraph" w:customStyle="1" w:styleId="10">
    <w:name w:val="honor_lis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无间隔 Char"/>
    <w:link w:val="12"/>
    <w:uiPriority w:val="0"/>
    <w:rPr>
      <w:sz w:val="22"/>
    </w:rPr>
  </w:style>
  <w:style w:type="paragraph" w:styleId="12">
    <w:name w:val="No Spacing"/>
    <w:link w:val="11"/>
    <w:qFormat/>
    <w:uiPriority w:val="0"/>
    <w:rPr>
      <w:rFonts w:asciiTheme="minorHAnsi" w:hAnsiTheme="minorHAnsi" w:eastAsiaTheme="minorEastAsia" w:cstheme="minorBidi"/>
      <w:kern w:val="2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0" Type="http://schemas.openxmlformats.org/officeDocument/2006/relationships/fontTable" Target="fontTable.xml"/><Relationship Id="rId5" Type="http://schemas.openxmlformats.org/officeDocument/2006/relationships/theme" Target="theme/theme1.xml"/><Relationship Id="rId49" Type="http://schemas.openxmlformats.org/officeDocument/2006/relationships/customXml" Target="../customXml/item2.xml"/><Relationship Id="rId48" Type="http://schemas.openxmlformats.org/officeDocument/2006/relationships/numbering" Target="numbering.xml"/><Relationship Id="rId47" Type="http://schemas.openxmlformats.org/officeDocument/2006/relationships/customXml" Target="../customXml/item1.xml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footer" Target="footer1.xml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pn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pn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png"/><Relationship Id="rId3" Type="http://schemas.openxmlformats.org/officeDocument/2006/relationships/header" Target="header1.xml"/><Relationship Id="rId29" Type="http://schemas.openxmlformats.org/officeDocument/2006/relationships/image" Target="media/image26.jpeg"/><Relationship Id="rId28" Type="http://schemas.openxmlformats.org/officeDocument/2006/relationships/image" Target="media/image25.png"/><Relationship Id="rId27" Type="http://schemas.openxmlformats.org/officeDocument/2006/relationships/image" Target="media/image24.jpe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jpeg"/><Relationship Id="rId23" Type="http://schemas.openxmlformats.org/officeDocument/2006/relationships/image" Target="media/image20.png"/><Relationship Id="rId22" Type="http://schemas.openxmlformats.org/officeDocument/2006/relationships/image" Target="media/image19.jpeg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08C270-A107-4E44-B61A-F03621AB3B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2843</Words>
  <Characters>3078</Characters>
  <Lines>24</Lines>
  <Paragraphs>6</Paragraphs>
  <TotalTime>2</TotalTime>
  <ScaleCrop>false</ScaleCrop>
  <LinksUpToDate>false</LinksUpToDate>
  <CharactersWithSpaces>3089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2023-02-26T13:23:00Z</dcterms:created>
  <dc:creator>Microsoft 帐户</dc:creator>
  <cp:lastModifiedBy>compass</cp:lastModifiedBy>
  <cp:lastPrinted>2020-10-28T12:27:00Z</cp:lastPrinted>
  <dcterms:modified xsi:type="dcterms:W3CDTF">2023-03-25T07:19:18Z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2C2837C12E6047FFA8F7E89B83CE80A0</vt:lpwstr>
  </property>
</Properties>
</file>