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outlineLvl w:val="9"/>
        <w:rPr>
          <w:rFonts w:hint="eastAsia"/>
          <w:b/>
          <w:bCs/>
          <w:sz w:val="36"/>
          <w:szCs w:val="44"/>
          <w:lang w:eastAsia="zh-CN"/>
        </w:rPr>
      </w:pPr>
      <w:r>
        <w:rPr>
          <w:rFonts w:hint="eastAsia"/>
          <w:b/>
          <w:bCs/>
          <w:sz w:val="36"/>
          <w:szCs w:val="44"/>
          <w:lang w:eastAsia="zh-CN"/>
        </w:rPr>
        <w:t>中兴通讯股份有限公司</w:t>
      </w:r>
    </w:p>
    <w:p>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outlineLvl w:val="9"/>
        <w:rPr>
          <w:rFonts w:hint="eastAsia"/>
          <w:b/>
          <w:bCs/>
          <w:sz w:val="32"/>
          <w:szCs w:val="40"/>
        </w:rPr>
      </w:pPr>
      <w:r>
        <w:rPr>
          <w:rFonts w:hint="eastAsia"/>
          <w:b/>
          <w:bCs/>
          <w:sz w:val="36"/>
          <w:szCs w:val="44"/>
          <w:lang w:eastAsia="zh-CN"/>
        </w:rPr>
        <w:t>南京</w:t>
      </w:r>
      <w:bookmarkStart w:id="0" w:name="_GoBack"/>
      <w:bookmarkEnd w:id="0"/>
      <w:r>
        <w:rPr>
          <w:rFonts w:hint="eastAsia"/>
          <w:b/>
          <w:bCs/>
          <w:sz w:val="36"/>
          <w:szCs w:val="44"/>
          <w:lang w:eastAsia="zh-CN"/>
        </w:rPr>
        <w:t>智能制造基地校园</w:t>
      </w:r>
      <w:r>
        <w:rPr>
          <w:rFonts w:hint="eastAsia"/>
          <w:b/>
          <w:bCs/>
          <w:sz w:val="36"/>
          <w:szCs w:val="44"/>
        </w:rPr>
        <w:t>招聘简章</w:t>
      </w:r>
    </w:p>
    <w:p>
      <w:pPr>
        <w:keepNext w:val="0"/>
        <w:keepLines w:val="0"/>
        <w:pageBreakBefore w:val="0"/>
        <w:widowControl w:val="0"/>
        <w:kinsoku/>
        <w:wordWrap/>
        <w:overflowPunct/>
        <w:topLinePunct w:val="0"/>
        <w:autoSpaceDE w:val="0"/>
        <w:autoSpaceDN w:val="0"/>
        <w:bidi w:val="0"/>
        <w:adjustRightInd w:val="0"/>
        <w:snapToGrid/>
        <w:spacing w:before="157" w:beforeLines="50" w:after="157" w:afterLines="50" w:line="360" w:lineRule="auto"/>
        <w:ind w:left="0" w:leftChars="0" w:right="0" w:rightChars="0" w:firstLine="0" w:firstLineChars="0"/>
        <w:jc w:val="left"/>
        <w:textAlignment w:val="auto"/>
        <w:outlineLvl w:val="9"/>
        <w:rPr>
          <w:rFonts w:hint="eastAsia" w:ascii="微软雅黑" w:hAnsi="微软雅黑" w:eastAsia="微软雅黑" w:cs="微软雅黑"/>
          <w:b/>
          <w:bCs/>
          <w:color w:val="000000"/>
          <w:kern w:val="0"/>
          <w:sz w:val="24"/>
          <w:szCs w:val="24"/>
          <w:lang w:eastAsia="zh-CN"/>
        </w:rPr>
      </w:pPr>
      <w:r>
        <w:rPr>
          <w:rFonts w:hint="eastAsia" w:ascii="微软雅黑" w:hAnsi="微软雅黑" w:eastAsia="微软雅黑" w:cs="微软雅黑"/>
          <w:b/>
          <w:bCs/>
          <w:color w:val="000000"/>
          <w:kern w:val="0"/>
          <w:sz w:val="24"/>
          <w:szCs w:val="24"/>
        </w:rPr>
        <w:t>公司简介</w:t>
      </w:r>
    </w:p>
    <w:p>
      <w:pPr>
        <w:keepNext w:val="0"/>
        <w:keepLines w:val="0"/>
        <w:pageBreakBefore w:val="0"/>
        <w:widowControl w:val="0"/>
        <w:kinsoku/>
        <w:wordWrap/>
        <w:overflowPunct/>
        <w:topLinePunct w:val="0"/>
        <w:autoSpaceDE/>
        <w:autoSpaceDN/>
        <w:bidi w:val="0"/>
        <w:adjustRightInd/>
        <w:snapToGrid/>
        <w:spacing w:line="288" w:lineRule="auto"/>
        <w:ind w:firstLine="400" w:firstLineChars="200"/>
        <w:textAlignment w:val="auto"/>
        <w:outlineLvl w:val="9"/>
        <w:rPr>
          <w:rFonts w:hint="eastAsia" w:ascii="宋体" w:hAnsi="宋体" w:eastAsia="宋体" w:cs="宋体"/>
          <w:sz w:val="20"/>
          <w:szCs w:val="20"/>
          <w:lang w:val="zh-CN" w:eastAsia="zh-CN"/>
        </w:rPr>
      </w:pPr>
      <w:r>
        <w:rPr>
          <w:rFonts w:hint="eastAsia" w:ascii="宋体" w:hAnsi="宋体" w:eastAsia="宋体" w:cs="宋体"/>
          <w:sz w:val="20"/>
          <w:szCs w:val="20"/>
          <w:lang w:val="zh-CN" w:eastAsia="zh-CN"/>
        </w:rPr>
        <w:t>中兴通讯是全球领先的综合通信信息解决方案提供商。公司成立于1985年，是在香港和深圳两地上市的大型通信设备公司。公司通过为全球160多个国家和地区的电信运营商和政企客户提供创新技术与产品解决方案，让全世界用户享有语音、数据、多媒体、无线宽带等全方位沟通。</w:t>
      </w:r>
    </w:p>
    <w:p>
      <w:pPr>
        <w:keepNext w:val="0"/>
        <w:keepLines w:val="0"/>
        <w:pageBreakBefore w:val="0"/>
        <w:widowControl w:val="0"/>
        <w:kinsoku/>
        <w:wordWrap/>
        <w:overflowPunct/>
        <w:topLinePunct w:val="0"/>
        <w:autoSpaceDE/>
        <w:autoSpaceDN/>
        <w:bidi w:val="0"/>
        <w:adjustRightInd/>
        <w:snapToGrid/>
        <w:spacing w:line="288" w:lineRule="auto"/>
        <w:ind w:firstLine="400" w:firstLineChars="200"/>
        <w:textAlignment w:val="auto"/>
        <w:outlineLvl w:val="9"/>
        <w:rPr>
          <w:rFonts w:hint="eastAsia" w:ascii="宋体" w:hAnsi="宋体" w:eastAsia="宋体" w:cs="宋体"/>
          <w:sz w:val="20"/>
          <w:szCs w:val="20"/>
          <w:lang w:val="zh-CN" w:eastAsia="zh-CN"/>
        </w:rPr>
      </w:pPr>
      <w:r>
        <w:rPr>
          <w:rFonts w:hint="eastAsia" w:ascii="宋体" w:hAnsi="宋体" w:eastAsia="宋体" w:cs="宋体"/>
          <w:sz w:val="20"/>
          <w:szCs w:val="20"/>
          <w:lang w:val="zh-CN" w:eastAsia="zh-CN"/>
        </w:rPr>
        <w:t>中兴通讯拥有通信业界完整的、端到端的产品线和融合解决方案，通过全系列的无线、有线、业务、终端产品和专业通信服务，灵活满足全球不同运营商和政企客户的差异化需求以及快速创新的追求。目前，中兴通讯已全面服务于全球主流运营商及政企客户。</w:t>
      </w:r>
    </w:p>
    <w:p>
      <w:pPr>
        <w:keepNext w:val="0"/>
        <w:keepLines w:val="0"/>
        <w:pageBreakBefore w:val="0"/>
        <w:widowControl w:val="0"/>
        <w:kinsoku/>
        <w:wordWrap/>
        <w:overflowPunct/>
        <w:topLinePunct w:val="0"/>
        <w:autoSpaceDE/>
        <w:autoSpaceDN/>
        <w:bidi w:val="0"/>
        <w:adjustRightInd/>
        <w:snapToGrid/>
        <w:spacing w:line="288" w:lineRule="auto"/>
        <w:ind w:firstLine="400" w:firstLineChars="200"/>
        <w:textAlignment w:val="auto"/>
        <w:outlineLvl w:val="9"/>
        <w:rPr>
          <w:rFonts w:hint="eastAsia" w:ascii="宋体" w:hAnsi="宋体" w:eastAsia="宋体" w:cs="宋体"/>
          <w:sz w:val="20"/>
          <w:szCs w:val="20"/>
          <w:lang w:val="zh-CN" w:eastAsia="zh-CN"/>
        </w:rPr>
      </w:pPr>
      <w:r>
        <w:rPr>
          <w:rFonts w:hint="eastAsia" w:ascii="宋体" w:hAnsi="宋体" w:eastAsia="宋体" w:cs="宋体"/>
          <w:sz w:val="20"/>
          <w:szCs w:val="20"/>
          <w:lang w:val="zh-CN" w:eastAsia="zh-CN"/>
        </w:rPr>
        <w:t>中兴通讯坚持以持续技术创新为客户不断创造价值，在美国、瑞典、中国等地设立全球研发机构，同时进一步强化自主创新力度，保持在5G无线、核心网、承载、接入、芯片等核心领域的研发投入，研发投入连续多年保持在营业收入10%以上。中兴通讯拥有全球专利申请量7.6万件，已授权专利超过3.6万件，连续9年稳居PCT国际专利申请全球前五。同时，中兴通讯是全球5G技术研究和标准制定的主要参与者和贡献者。根据IPlytics 2020年2月的报告，中兴通讯向ETSI披露了5G标准必要专利2,561族，位列全球前三。</w:t>
      </w:r>
    </w:p>
    <w:p>
      <w:pPr>
        <w:keepNext w:val="0"/>
        <w:keepLines w:val="0"/>
        <w:pageBreakBefore w:val="0"/>
        <w:widowControl w:val="0"/>
        <w:kinsoku/>
        <w:wordWrap/>
        <w:overflowPunct/>
        <w:topLinePunct w:val="0"/>
        <w:autoSpaceDE/>
        <w:autoSpaceDN/>
        <w:bidi w:val="0"/>
        <w:adjustRightInd/>
        <w:snapToGrid/>
        <w:spacing w:line="288" w:lineRule="auto"/>
        <w:ind w:firstLine="400" w:firstLineChars="200"/>
        <w:textAlignment w:val="auto"/>
        <w:outlineLvl w:val="9"/>
        <w:rPr>
          <w:rFonts w:hint="eastAsia" w:ascii="宋体" w:hAnsi="宋体" w:eastAsia="宋体" w:cs="宋体"/>
          <w:sz w:val="20"/>
          <w:szCs w:val="20"/>
          <w:lang w:val="zh-CN" w:eastAsia="zh-CN"/>
        </w:rPr>
      </w:pPr>
      <w:r>
        <w:rPr>
          <w:rFonts w:hint="eastAsia" w:ascii="宋体" w:hAnsi="宋体" w:eastAsia="宋体" w:cs="宋体"/>
          <w:sz w:val="20"/>
          <w:szCs w:val="20"/>
          <w:lang w:val="zh-CN" w:eastAsia="zh-CN"/>
        </w:rPr>
        <w:t>中兴通讯坚持在全球范围内贯彻可持续发展理念，实现社会、环境及利益相关者的和谐共生；运用通信技术帮助不同地区的人们享有平等的通信自由；将“创新、融合、绿色”理念贯穿到整个产品生命周期，以及研发、生产、物流、客户服务等全流程，为实现全球性降低能耗和二氧化碳排放不懈努力；在全球范围内开展社区公益和救助行动，2019年第二次入选富时社会责任指数系列(FTSE4Good Index Series)，位列中国企业300强社会责任发展指数前100名。中兴通讯是联合国全球契约组织和GeSI (Global e-Sustainability Initiative)组织的成员，自2009年起，已连续12年主动向社会发布可持续发展报告/企业社会责任报告。</w:t>
      </w:r>
    </w:p>
    <w:p>
      <w:pPr>
        <w:keepNext w:val="0"/>
        <w:keepLines w:val="0"/>
        <w:pageBreakBefore w:val="0"/>
        <w:widowControl w:val="0"/>
        <w:kinsoku/>
        <w:wordWrap/>
        <w:overflowPunct/>
        <w:topLinePunct w:val="0"/>
        <w:autoSpaceDE/>
        <w:autoSpaceDN/>
        <w:bidi w:val="0"/>
        <w:adjustRightInd/>
        <w:snapToGrid/>
        <w:spacing w:line="288" w:lineRule="auto"/>
        <w:ind w:firstLine="400" w:firstLineChars="200"/>
        <w:textAlignment w:val="auto"/>
        <w:outlineLvl w:val="9"/>
        <w:rPr>
          <w:rFonts w:hint="eastAsia" w:ascii="宋体" w:hAnsi="宋体" w:eastAsia="宋体" w:cs="宋体"/>
          <w:sz w:val="20"/>
          <w:szCs w:val="20"/>
          <w:lang w:val="zh-CN" w:eastAsia="zh-CN"/>
        </w:rPr>
      </w:pPr>
      <w:r>
        <w:rPr>
          <w:rFonts w:hint="eastAsia" w:ascii="宋体" w:hAnsi="宋体" w:eastAsia="宋体" w:cs="宋体"/>
          <w:sz w:val="20"/>
          <w:szCs w:val="20"/>
          <w:lang w:val="zh-CN" w:eastAsia="zh-CN"/>
        </w:rPr>
        <w:t>中兴通讯致力于构建5G时代自主创新核心竞争力，将凭借领先的5G端到端全系列产品与解决方案，加速推进全球5G商用规模部署。</w:t>
      </w:r>
    </w:p>
    <w:p>
      <w:pPr>
        <w:keepNext w:val="0"/>
        <w:keepLines w:val="0"/>
        <w:pageBreakBefore w:val="0"/>
        <w:widowControl w:val="0"/>
        <w:kinsoku/>
        <w:wordWrap/>
        <w:overflowPunct/>
        <w:topLinePunct w:val="0"/>
        <w:autoSpaceDE/>
        <w:autoSpaceDN/>
        <w:bidi w:val="0"/>
        <w:adjustRightInd/>
        <w:snapToGrid/>
        <w:spacing w:line="288" w:lineRule="auto"/>
        <w:ind w:left="0" w:leftChars="0" w:firstLine="0" w:firstLineChars="0"/>
        <w:textAlignment w:val="auto"/>
        <w:outlineLvl w:val="9"/>
        <w:rPr>
          <w:rFonts w:hint="eastAsia" w:ascii="宋体" w:hAnsi="宋体" w:eastAsia="宋体" w:cs="宋体"/>
          <w:sz w:val="20"/>
          <w:szCs w:val="20"/>
          <w:lang w:val="en-US" w:eastAsia="zh-CN"/>
        </w:rPr>
      </w:pPr>
      <w:r>
        <w:rPr>
          <w:rFonts w:hint="eastAsia" w:ascii="微软雅黑" w:hAnsi="微软雅黑" w:eastAsia="微软雅黑" w:cs="微软雅黑"/>
          <w:b/>
          <w:bCs/>
          <w:sz w:val="24"/>
          <w:szCs w:val="24"/>
          <w:lang w:val="zh-CN" w:eastAsia="zh-CN"/>
        </w:rPr>
        <w:t>工作地点：</w:t>
      </w:r>
      <w:r>
        <w:rPr>
          <w:rFonts w:hint="eastAsia" w:ascii="宋体" w:hAnsi="宋体" w:eastAsia="宋体" w:cs="宋体"/>
          <w:sz w:val="20"/>
          <w:szCs w:val="20"/>
          <w:lang w:val="en-US" w:eastAsia="zh-CN"/>
        </w:rPr>
        <w:t>南京市江宁区</w:t>
      </w:r>
    </w:p>
    <w:p>
      <w:pPr>
        <w:keepNext w:val="0"/>
        <w:keepLines w:val="0"/>
        <w:pageBreakBefore w:val="0"/>
        <w:widowControl w:val="0"/>
        <w:kinsoku/>
        <w:wordWrap/>
        <w:overflowPunct/>
        <w:topLinePunct w:val="0"/>
        <w:autoSpaceDE/>
        <w:autoSpaceDN/>
        <w:bidi w:val="0"/>
        <w:adjustRightInd/>
        <w:snapToGrid/>
        <w:spacing w:line="288" w:lineRule="auto"/>
        <w:ind w:left="0" w:leftChars="0" w:firstLine="0" w:firstLineChars="0"/>
        <w:textAlignment w:val="auto"/>
        <w:outlineLvl w:val="9"/>
        <w:rPr>
          <w:rFonts w:hint="eastAsia" w:ascii="宋体" w:hAnsi="宋体" w:eastAsia="宋体" w:cs="宋体"/>
          <w:sz w:val="20"/>
          <w:szCs w:val="20"/>
          <w:lang w:val="en-US" w:eastAsia="zh-CN"/>
        </w:rPr>
      </w:pPr>
      <w:r>
        <w:rPr>
          <w:rFonts w:hint="eastAsia" w:ascii="微软雅黑" w:hAnsi="微软雅黑" w:eastAsia="微软雅黑" w:cs="微软雅黑"/>
          <w:b/>
          <w:bCs/>
          <w:sz w:val="24"/>
          <w:szCs w:val="24"/>
          <w:lang w:val="en-US" w:eastAsia="zh-CN"/>
        </w:rPr>
        <w:t>工作模式：</w:t>
      </w:r>
      <w:r>
        <w:rPr>
          <w:rFonts w:hint="eastAsia" w:ascii="宋体" w:hAnsi="宋体" w:eastAsia="宋体" w:cs="宋体"/>
          <w:sz w:val="20"/>
          <w:szCs w:val="20"/>
          <w:lang w:val="en-US" w:eastAsia="zh-CN"/>
        </w:rPr>
        <w:t>基本工作时长每周5*8小时，</w:t>
      </w:r>
      <w:r>
        <w:rPr>
          <w:rFonts w:hint="eastAsia" w:ascii="宋体" w:hAnsi="宋体" w:cs="宋体"/>
          <w:sz w:val="20"/>
          <w:szCs w:val="20"/>
          <w:lang w:val="en-US" w:eastAsia="zh-CN"/>
        </w:rPr>
        <w:t>需要服从公司加班安排。</w:t>
      </w:r>
    </w:p>
    <w:p>
      <w:pPr>
        <w:keepNext w:val="0"/>
        <w:keepLines w:val="0"/>
        <w:pageBreakBefore w:val="0"/>
        <w:widowControl w:val="0"/>
        <w:kinsoku/>
        <w:wordWrap/>
        <w:overflowPunct/>
        <w:topLinePunct w:val="0"/>
        <w:autoSpaceDE/>
        <w:autoSpaceDN/>
        <w:bidi w:val="0"/>
        <w:adjustRightInd/>
        <w:snapToGrid/>
        <w:spacing w:line="288" w:lineRule="auto"/>
        <w:ind w:left="0" w:leftChars="0" w:firstLine="0" w:firstLineChars="0"/>
        <w:textAlignment w:val="auto"/>
        <w:outlineLvl w:val="9"/>
        <w:rPr>
          <w:rFonts w:hint="eastAsia" w:ascii="微软雅黑" w:hAnsi="微软雅黑" w:eastAsia="微软雅黑" w:cs="微软雅黑"/>
          <w:b/>
          <w:bCs/>
          <w:sz w:val="24"/>
          <w:szCs w:val="24"/>
          <w:lang w:val="zh-CN" w:eastAsia="zh-CN"/>
        </w:rPr>
      </w:pPr>
      <w:r>
        <w:rPr>
          <w:rFonts w:hint="eastAsia" w:ascii="微软雅黑" w:hAnsi="微软雅黑" w:eastAsia="微软雅黑" w:cs="微软雅黑"/>
          <w:b/>
          <w:bCs/>
          <w:sz w:val="24"/>
          <w:szCs w:val="24"/>
          <w:lang w:val="zh-CN" w:eastAsia="zh-CN"/>
        </w:rPr>
        <w:t>招聘要求：</w:t>
      </w:r>
    </w:p>
    <w:p>
      <w:pPr>
        <w:pStyle w:val="5"/>
        <w:keepNext w:val="0"/>
        <w:keepLines w:val="0"/>
        <w:pageBreakBefore w:val="0"/>
        <w:widowControl/>
        <w:numPr>
          <w:ilvl w:val="0"/>
          <w:numId w:val="0"/>
        </w:numPr>
        <w:kinsoku/>
        <w:wordWrap/>
        <w:overflowPunct/>
        <w:topLinePunct w:val="0"/>
        <w:autoSpaceDE/>
        <w:autoSpaceDN/>
        <w:bidi w:val="0"/>
        <w:adjustRightInd/>
        <w:snapToGrid/>
        <w:spacing w:line="288" w:lineRule="auto"/>
        <w:ind w:firstLine="400" w:firstLineChars="200"/>
        <w:textAlignment w:val="auto"/>
        <w:outlineLvl w:val="9"/>
        <w:rPr>
          <w:rFonts w:hint="eastAsia" w:asciiTheme="minorEastAsia" w:hAnsiTheme="minorEastAsia" w:eastAsiaTheme="minorEastAsia" w:cstheme="minorEastAsia"/>
          <w:kern w:val="0"/>
          <w:sz w:val="20"/>
          <w:szCs w:val="20"/>
          <w:lang w:val="en-US" w:eastAsia="zh-CN" w:bidi="ar-SA"/>
        </w:rPr>
      </w:pPr>
      <w:r>
        <w:rPr>
          <w:rFonts w:hint="eastAsia" w:asciiTheme="minorEastAsia" w:hAnsiTheme="minorEastAsia" w:eastAsiaTheme="minorEastAsia" w:cstheme="minorEastAsia"/>
          <w:kern w:val="0"/>
          <w:sz w:val="20"/>
          <w:szCs w:val="20"/>
          <w:lang w:val="en-US" w:eastAsia="zh-CN" w:bidi="ar-SA"/>
        </w:rPr>
        <w:t>1、学历：大专/高技；</w:t>
      </w:r>
    </w:p>
    <w:p>
      <w:pPr>
        <w:pStyle w:val="5"/>
        <w:keepNext w:val="0"/>
        <w:keepLines w:val="0"/>
        <w:pageBreakBefore w:val="0"/>
        <w:widowControl/>
        <w:numPr>
          <w:ilvl w:val="0"/>
          <w:numId w:val="0"/>
        </w:numPr>
        <w:kinsoku/>
        <w:wordWrap/>
        <w:overflowPunct/>
        <w:topLinePunct w:val="0"/>
        <w:autoSpaceDE/>
        <w:autoSpaceDN/>
        <w:bidi w:val="0"/>
        <w:adjustRightInd/>
        <w:snapToGrid/>
        <w:spacing w:line="288" w:lineRule="auto"/>
        <w:ind w:leftChars="0" w:firstLine="400" w:firstLineChars="200"/>
        <w:textAlignment w:val="auto"/>
        <w:outlineLvl w:val="9"/>
        <w:rPr>
          <w:rFonts w:hint="eastAsia" w:asciiTheme="minorEastAsia" w:hAnsiTheme="minorEastAsia" w:eastAsiaTheme="minorEastAsia" w:cstheme="minorEastAsia"/>
          <w:kern w:val="0"/>
          <w:sz w:val="20"/>
          <w:szCs w:val="20"/>
          <w:lang w:val="en-US" w:eastAsia="zh-CN" w:bidi="ar-SA"/>
        </w:rPr>
      </w:pPr>
      <w:r>
        <w:rPr>
          <w:rFonts w:hint="eastAsia" w:asciiTheme="minorEastAsia" w:hAnsiTheme="minorEastAsia" w:eastAsiaTheme="minorEastAsia" w:cstheme="minorEastAsia"/>
          <w:kern w:val="0"/>
          <w:sz w:val="20"/>
          <w:szCs w:val="20"/>
          <w:lang w:val="en-US" w:eastAsia="zh-CN" w:bidi="ar-SA"/>
        </w:rPr>
        <w:t>2、年龄：大专/高技18周岁及以上；</w:t>
      </w:r>
    </w:p>
    <w:p>
      <w:pPr>
        <w:pStyle w:val="5"/>
        <w:keepNext w:val="0"/>
        <w:keepLines w:val="0"/>
        <w:pageBreakBefore w:val="0"/>
        <w:widowControl/>
        <w:numPr>
          <w:ilvl w:val="0"/>
          <w:numId w:val="0"/>
        </w:numPr>
        <w:kinsoku/>
        <w:wordWrap/>
        <w:overflowPunct/>
        <w:topLinePunct w:val="0"/>
        <w:autoSpaceDE/>
        <w:autoSpaceDN/>
        <w:bidi w:val="0"/>
        <w:adjustRightInd/>
        <w:snapToGrid/>
        <w:spacing w:line="288" w:lineRule="auto"/>
        <w:ind w:leftChars="0" w:firstLine="400" w:firstLineChars="200"/>
        <w:textAlignment w:val="auto"/>
        <w:outlineLvl w:val="9"/>
        <w:rPr>
          <w:rFonts w:hint="eastAsia" w:asciiTheme="minorEastAsia" w:hAnsiTheme="minorEastAsia" w:eastAsiaTheme="minorEastAsia" w:cstheme="minorEastAsia"/>
          <w:kern w:val="0"/>
          <w:sz w:val="20"/>
          <w:szCs w:val="20"/>
          <w:lang w:val="en-US" w:eastAsia="zh-CN" w:bidi="ar-SA"/>
        </w:rPr>
      </w:pPr>
      <w:r>
        <w:rPr>
          <w:rFonts w:hint="eastAsia" w:asciiTheme="minorEastAsia" w:hAnsiTheme="minorEastAsia" w:eastAsiaTheme="minorEastAsia" w:cstheme="minorEastAsia"/>
          <w:kern w:val="0"/>
          <w:sz w:val="20"/>
          <w:szCs w:val="20"/>
          <w:lang w:val="en-US" w:eastAsia="zh-CN" w:bidi="ar-SA"/>
        </w:rPr>
        <w:t>3、身体健康（在我司指定体检机构免费入职体检，以体检机构出具的体检结果为准）；</w:t>
      </w:r>
    </w:p>
    <w:p>
      <w:pPr>
        <w:pStyle w:val="5"/>
        <w:keepNext w:val="0"/>
        <w:keepLines w:val="0"/>
        <w:pageBreakBefore w:val="0"/>
        <w:widowControl/>
        <w:numPr>
          <w:ilvl w:val="0"/>
          <w:numId w:val="0"/>
        </w:numPr>
        <w:kinsoku/>
        <w:wordWrap/>
        <w:overflowPunct/>
        <w:topLinePunct w:val="0"/>
        <w:autoSpaceDE/>
        <w:autoSpaceDN/>
        <w:bidi w:val="0"/>
        <w:adjustRightInd/>
        <w:snapToGrid/>
        <w:spacing w:line="288" w:lineRule="auto"/>
        <w:ind w:leftChars="0" w:firstLine="400" w:firstLineChars="200"/>
        <w:textAlignment w:val="auto"/>
        <w:outlineLvl w:val="9"/>
        <w:rPr>
          <w:rFonts w:hint="eastAsia" w:asciiTheme="minorEastAsia" w:hAnsiTheme="minorEastAsia" w:eastAsiaTheme="minorEastAsia" w:cstheme="minorEastAsia"/>
          <w:kern w:val="0"/>
          <w:sz w:val="20"/>
          <w:szCs w:val="20"/>
          <w:lang w:val="en-US" w:eastAsia="zh-CN" w:bidi="ar-SA"/>
        </w:rPr>
      </w:pPr>
      <w:r>
        <w:rPr>
          <w:rFonts w:hint="eastAsia" w:asciiTheme="minorEastAsia" w:hAnsiTheme="minorEastAsia" w:eastAsiaTheme="minorEastAsia" w:cstheme="minorEastAsia"/>
          <w:kern w:val="0"/>
          <w:sz w:val="20"/>
          <w:szCs w:val="20"/>
          <w:lang w:val="en-US" w:eastAsia="zh-CN" w:bidi="ar-SA"/>
        </w:rPr>
        <w:t>4、通信、电子、信息、软件、机电、机械、物流、自动化、计算机、机器人等理工类相关专业优先；</w:t>
      </w:r>
    </w:p>
    <w:p>
      <w:pPr>
        <w:keepNext w:val="0"/>
        <w:keepLines w:val="0"/>
        <w:pageBreakBefore w:val="0"/>
        <w:widowControl/>
        <w:numPr>
          <w:ilvl w:val="0"/>
          <w:numId w:val="0"/>
        </w:numPr>
        <w:kinsoku/>
        <w:wordWrap/>
        <w:overflowPunct/>
        <w:topLinePunct w:val="0"/>
        <w:autoSpaceDE/>
        <w:autoSpaceDN/>
        <w:bidi w:val="0"/>
        <w:adjustRightInd/>
        <w:snapToGrid/>
        <w:spacing w:line="288" w:lineRule="auto"/>
        <w:ind w:firstLine="400" w:firstLineChars="200"/>
        <w:jc w:val="left"/>
        <w:textAlignment w:val="auto"/>
        <w:outlineLvl w:val="9"/>
        <w:rPr>
          <w:rFonts w:hint="eastAsia" w:asciiTheme="minorEastAsia" w:hAnsiTheme="minorEastAsia" w:eastAsiaTheme="minorEastAsia" w:cstheme="minorEastAsia"/>
          <w:kern w:val="0"/>
          <w:sz w:val="20"/>
          <w:szCs w:val="20"/>
          <w:lang w:val="en-US" w:eastAsia="zh-CN" w:bidi="ar-SA"/>
        </w:rPr>
      </w:pPr>
      <w:r>
        <w:rPr>
          <w:rFonts w:hint="eastAsia" w:asciiTheme="minorEastAsia" w:hAnsiTheme="minorEastAsia" w:eastAsiaTheme="minorEastAsia" w:cstheme="minorEastAsia"/>
          <w:kern w:val="0"/>
          <w:sz w:val="20"/>
          <w:szCs w:val="20"/>
          <w:lang w:val="en-US" w:eastAsia="zh-CN" w:bidi="ar-SA"/>
        </w:rPr>
        <w:t>5、具备一定抗压能力；</w:t>
      </w:r>
    </w:p>
    <w:p>
      <w:pPr>
        <w:pStyle w:val="5"/>
        <w:keepNext w:val="0"/>
        <w:keepLines w:val="0"/>
        <w:pageBreakBefore w:val="0"/>
        <w:widowControl/>
        <w:numPr>
          <w:ilvl w:val="0"/>
          <w:numId w:val="0"/>
        </w:numPr>
        <w:kinsoku/>
        <w:wordWrap/>
        <w:overflowPunct/>
        <w:topLinePunct w:val="0"/>
        <w:autoSpaceDE/>
        <w:autoSpaceDN/>
        <w:bidi w:val="0"/>
        <w:adjustRightInd/>
        <w:snapToGrid/>
        <w:spacing w:line="288" w:lineRule="auto"/>
        <w:ind w:leftChars="0" w:firstLine="400" w:firstLineChars="200"/>
        <w:textAlignment w:val="auto"/>
        <w:outlineLvl w:val="9"/>
        <w:rPr>
          <w:rFonts w:hint="eastAsia" w:ascii="微软雅黑" w:hAnsi="微软雅黑" w:eastAsia="微软雅黑" w:cs="微软雅黑"/>
          <w:b/>
          <w:bCs/>
          <w:color w:val="000000"/>
          <w:kern w:val="0"/>
          <w:sz w:val="24"/>
          <w:szCs w:val="24"/>
        </w:rPr>
      </w:pPr>
      <w:r>
        <w:rPr>
          <w:rFonts w:hint="eastAsia" w:asciiTheme="minorEastAsia" w:hAnsiTheme="minorEastAsia" w:eastAsiaTheme="minorEastAsia" w:cstheme="minorEastAsia"/>
          <w:kern w:val="0"/>
          <w:sz w:val="20"/>
          <w:szCs w:val="20"/>
          <w:lang w:val="en-US" w:eastAsia="zh-CN" w:bidi="ar-SA"/>
        </w:rPr>
        <w:t>6、</w:t>
      </w:r>
      <w:r>
        <w:rPr>
          <w:rFonts w:hint="eastAsia" w:asciiTheme="minorEastAsia" w:hAnsiTheme="minorEastAsia" w:eastAsiaTheme="minorEastAsia" w:cstheme="minorEastAsia"/>
          <w:kern w:val="0"/>
          <w:sz w:val="20"/>
          <w:szCs w:val="20"/>
          <w:lang w:eastAsia="zh-CN"/>
        </w:rPr>
        <w:t>工作细致严谨，态度积极，具备良好的团队合作精神和敬业爱岗的品德。</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left"/>
        <w:textAlignment w:val="auto"/>
        <w:outlineLvl w:val="0"/>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br w:type="page"/>
      </w:r>
    </w:p>
    <w:p>
      <w:pPr>
        <w:pStyle w:val="5"/>
        <w:keepNext w:val="0"/>
        <w:keepLines w:val="0"/>
        <w:pageBreakBefore w:val="0"/>
        <w:widowControl/>
        <w:numPr>
          <w:ilvl w:val="0"/>
          <w:numId w:val="0"/>
        </w:numPr>
        <w:kinsoku/>
        <w:wordWrap/>
        <w:overflowPunct/>
        <w:topLinePunct w:val="0"/>
        <w:autoSpaceDE/>
        <w:autoSpaceDN/>
        <w:bidi w:val="0"/>
        <w:adjustRightInd/>
        <w:snapToGrid/>
        <w:spacing w:line="288" w:lineRule="auto"/>
        <w:ind w:left="0" w:leftChars="0" w:firstLine="0" w:firstLineChars="0"/>
        <w:textAlignment w:val="auto"/>
        <w:outlineLvl w:val="9"/>
        <w:rPr>
          <w:rFonts w:hint="eastAsia" w:ascii="微软雅黑" w:hAnsi="微软雅黑" w:eastAsia="微软雅黑" w:cs="微软雅黑"/>
          <w:b/>
          <w:bCs/>
          <w:color w:val="000000"/>
          <w:kern w:val="0"/>
          <w:sz w:val="24"/>
          <w:szCs w:val="24"/>
          <w:lang w:eastAsia="zh-CN"/>
        </w:rPr>
      </w:pPr>
      <w:r>
        <w:rPr>
          <w:rFonts w:hint="eastAsia" w:ascii="微软雅黑" w:hAnsi="微软雅黑" w:eastAsia="微软雅黑" w:cs="微软雅黑"/>
          <w:b/>
          <w:bCs/>
          <w:color w:val="000000"/>
          <w:kern w:val="0"/>
          <w:sz w:val="24"/>
          <w:szCs w:val="24"/>
          <w:lang w:eastAsia="zh-CN"/>
        </w:rPr>
        <w:t>招聘岗位及职责</w:t>
      </w:r>
    </w:p>
    <w:tbl>
      <w:tblPr>
        <w:tblStyle w:val="6"/>
        <w:tblW w:w="95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1475"/>
        <w:gridCol w:w="8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95" w:hRule="atLeast"/>
          <w:jc w:val="center"/>
        </w:trPr>
        <w:tc>
          <w:tcPr>
            <w:tcW w:w="147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outlineLvl w:val="9"/>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招聘岗位</w:t>
            </w:r>
          </w:p>
        </w:tc>
        <w:tc>
          <w:tcPr>
            <w:tcW w:w="809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outlineLvl w:val="9"/>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岗位职责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95" w:hRule="atLeast"/>
          <w:jc w:val="center"/>
        </w:trPr>
        <w:tc>
          <w:tcPr>
            <w:tcW w:w="147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outlineLvl w:val="9"/>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工艺技术员</w:t>
            </w:r>
          </w:p>
        </w:tc>
        <w:tc>
          <w:tcPr>
            <w:tcW w:w="809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outlineLvl w:val="9"/>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按照岗位工艺要求，分析产品生产流程，优化产品操作方式做到提效率、降成本，以达到最终目标来修订生产工艺操作文件。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95" w:hRule="atLeast"/>
          <w:jc w:val="center"/>
        </w:trPr>
        <w:tc>
          <w:tcPr>
            <w:tcW w:w="147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outlineLvl w:val="9"/>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测试</w:t>
            </w:r>
            <w:r>
              <w:rPr>
                <w:rFonts w:hint="eastAsia" w:ascii="宋体" w:hAnsi="宋体" w:eastAsia="宋体" w:cs="宋体"/>
                <w:i w:val="0"/>
                <w:color w:val="000000"/>
                <w:kern w:val="0"/>
                <w:sz w:val="20"/>
                <w:szCs w:val="20"/>
                <w:u w:val="none"/>
                <w:lang w:val="en-US" w:eastAsia="zh-CN" w:bidi="ar"/>
              </w:rPr>
              <w:t>技术员</w:t>
            </w:r>
          </w:p>
        </w:tc>
        <w:tc>
          <w:tcPr>
            <w:tcW w:w="809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outlineLvl w:val="9"/>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按照岗位工艺要求，针对产品进行性能方面测试，主要负责测试仪器的调试、上机、异常记录处理，基础维护等。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95" w:hRule="atLeast"/>
          <w:jc w:val="center"/>
        </w:trPr>
        <w:tc>
          <w:tcPr>
            <w:tcW w:w="147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outlineLvl w:val="9"/>
              <w:rPr>
                <w:rFonts w:hint="eastAsia"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SMT技术员</w:t>
            </w:r>
          </w:p>
        </w:tc>
        <w:tc>
          <w:tcPr>
            <w:tcW w:w="809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outlineLvl w:val="9"/>
              <w:rPr>
                <w:rFonts w:hint="eastAsia"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根据生产计划，按时按量完成产品换线工作，同时对生产现场进行跟进与改善（效率、品质、损耗）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95" w:hRule="atLeast"/>
          <w:jc w:val="center"/>
        </w:trPr>
        <w:tc>
          <w:tcPr>
            <w:tcW w:w="147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outlineLvl w:val="9"/>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维修</w:t>
            </w:r>
            <w:r>
              <w:rPr>
                <w:rFonts w:hint="eastAsia" w:ascii="宋体" w:hAnsi="宋体" w:eastAsia="宋体" w:cs="宋体"/>
                <w:i w:val="0"/>
                <w:color w:val="000000"/>
                <w:kern w:val="0"/>
                <w:sz w:val="20"/>
                <w:szCs w:val="20"/>
                <w:u w:val="none"/>
                <w:lang w:val="en-US" w:eastAsia="zh-CN" w:bidi="ar"/>
              </w:rPr>
              <w:t>技术员</w:t>
            </w:r>
          </w:p>
        </w:tc>
        <w:tc>
          <w:tcPr>
            <w:tcW w:w="809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outlineLvl w:val="9"/>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按照岗位工艺要求，负责单板及设备的维保修，主要针对未通过检测的产品。同时配合硬件工程师做相关测试，定期根据测试及维修记录向公司提出建议，确保工艺生产水平及效率得到改善与提升。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95" w:hRule="atLeast"/>
          <w:jc w:val="center"/>
        </w:trPr>
        <w:tc>
          <w:tcPr>
            <w:tcW w:w="147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outlineLvl w:val="9"/>
              <w:rPr>
                <w:rFonts w:hint="eastAsia" w:ascii="宋体" w:hAnsi="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设备维护员</w:t>
            </w:r>
          </w:p>
        </w:tc>
        <w:tc>
          <w:tcPr>
            <w:tcW w:w="809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outlineLvl w:val="9"/>
              <w:rPr>
                <w:rFonts w:hint="eastAsia" w:ascii="宋体" w:hAnsi="宋体" w:cs="宋体"/>
                <w:i w:val="0"/>
                <w:color w:val="000000"/>
                <w:sz w:val="20"/>
                <w:szCs w:val="20"/>
                <w:u w:val="none"/>
                <w:lang w:eastAsia="zh-CN"/>
              </w:rPr>
            </w:pPr>
            <w:r>
              <w:rPr>
                <w:rFonts w:hint="eastAsia" w:ascii="宋体" w:hAnsi="宋体" w:cs="宋体"/>
                <w:i w:val="0"/>
                <w:color w:val="000000"/>
                <w:kern w:val="0"/>
                <w:sz w:val="20"/>
                <w:szCs w:val="20"/>
                <w:u w:val="none"/>
                <w:lang w:val="en-US" w:eastAsia="zh-CN" w:bidi="ar"/>
              </w:rPr>
              <w:t>按照岗位工艺要求，岗位细则要求，针对公司生产制造设备进行较为专业的检测、维护，故障排除，周期定期保养等。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95" w:hRule="atLeast"/>
          <w:jc w:val="center"/>
        </w:trPr>
        <w:tc>
          <w:tcPr>
            <w:tcW w:w="147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outlineLvl w:val="9"/>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w:t>
            </w:r>
            <w:r>
              <w:rPr>
                <w:rFonts w:hint="eastAsia" w:ascii="宋体" w:hAnsi="宋体" w:cs="宋体"/>
                <w:i w:val="0"/>
                <w:color w:val="000000"/>
                <w:kern w:val="0"/>
                <w:sz w:val="20"/>
                <w:szCs w:val="20"/>
                <w:u w:val="none"/>
                <w:lang w:val="en-US" w:eastAsia="zh-CN" w:bidi="ar"/>
              </w:rPr>
              <w:t>检验</w:t>
            </w:r>
            <w:r>
              <w:rPr>
                <w:rFonts w:hint="eastAsia" w:ascii="宋体" w:hAnsi="宋体" w:eastAsia="宋体" w:cs="宋体"/>
                <w:i w:val="0"/>
                <w:color w:val="000000"/>
                <w:kern w:val="0"/>
                <w:sz w:val="20"/>
                <w:szCs w:val="20"/>
                <w:u w:val="none"/>
                <w:lang w:val="en-US" w:eastAsia="zh-CN" w:bidi="ar"/>
              </w:rPr>
              <w:t>员</w:t>
            </w:r>
          </w:p>
        </w:tc>
        <w:tc>
          <w:tcPr>
            <w:tcW w:w="809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outlineLvl w:val="9"/>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按照岗位工艺要求，对公司单个生产流程规定完成的产品进行过程检验，确保产品的合格性；对异常产品进行记录反馈。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95" w:hRule="atLeast"/>
          <w:jc w:val="center"/>
        </w:trPr>
        <w:tc>
          <w:tcPr>
            <w:tcW w:w="147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outlineLvl w:val="9"/>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装配技术员</w:t>
            </w:r>
          </w:p>
        </w:tc>
        <w:tc>
          <w:tcPr>
            <w:tcW w:w="809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outlineLvl w:val="9"/>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按照岗位工艺要求，遵循工艺标准与三化作业指导书内容完成通讯产品的组装</w:t>
            </w:r>
            <w:r>
              <w:rPr>
                <w:rFonts w:hint="eastAsia" w:ascii="宋体" w:hAnsi="宋体" w:cs="宋体"/>
                <w:i w:val="0"/>
                <w:color w:val="000000"/>
                <w:kern w:val="0"/>
                <w:sz w:val="20"/>
                <w:szCs w:val="20"/>
                <w:u w:val="none"/>
                <w:lang w:val="en-US" w:eastAsia="zh-CN" w:bidi="ar"/>
              </w:rPr>
              <w:t>包装</w:t>
            </w:r>
            <w:r>
              <w:rPr>
                <w:rFonts w:hint="eastAsia" w:ascii="宋体" w:hAnsi="宋体" w:eastAsia="宋体" w:cs="宋体"/>
                <w:i w:val="0"/>
                <w:color w:val="000000"/>
                <w:kern w:val="0"/>
                <w:sz w:val="20"/>
                <w:szCs w:val="20"/>
                <w:u w:val="none"/>
                <w:lang w:val="en-US" w:eastAsia="zh-CN" w:bidi="ar"/>
              </w:rPr>
              <w:t xml:space="preserve">工作，同时完成作业周期内的质量自检及异常记录。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95" w:hRule="atLeast"/>
          <w:jc w:val="center"/>
        </w:trPr>
        <w:tc>
          <w:tcPr>
            <w:tcW w:w="147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outlineLvl w:val="9"/>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库存管理员</w:t>
            </w:r>
          </w:p>
        </w:tc>
        <w:tc>
          <w:tcPr>
            <w:tcW w:w="809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outlineLvl w:val="9"/>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根据物流供应链需求，负责全流程前端物料及中后端半成品、成品的包装、仓储及配送管理、货运跟单、记账发货等流程工作，确保供应链系统顺畅。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95" w:hRule="atLeast"/>
          <w:jc w:val="center"/>
        </w:trPr>
        <w:tc>
          <w:tcPr>
            <w:tcW w:w="147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outlineLvl w:val="9"/>
              <w:rPr>
                <w:rFonts w:hint="eastAsia"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生产储备干部</w:t>
            </w:r>
          </w:p>
        </w:tc>
        <w:tc>
          <w:tcPr>
            <w:tcW w:w="809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outlineLvl w:val="9"/>
              <w:rPr>
                <w:rFonts w:hint="eastAsia"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协助主管按生产计划执行安全生产，确保生产任务顺利完成；监督落实各项作业标准的执行，处理现场异常；现场安全、设备、人员等管理。</w:t>
            </w:r>
          </w:p>
        </w:tc>
      </w:tr>
    </w:tbl>
    <w:p>
      <w:pPr>
        <w:keepNext w:val="0"/>
        <w:keepLines w:val="0"/>
        <w:pageBreakBefore w:val="0"/>
        <w:widowControl/>
        <w:numPr>
          <w:ilvl w:val="0"/>
          <w:numId w:val="0"/>
        </w:numPr>
        <w:kinsoku/>
        <w:wordWrap/>
        <w:overflowPunct/>
        <w:topLinePunct w:val="0"/>
        <w:autoSpaceDE/>
        <w:autoSpaceDN/>
        <w:bidi w:val="0"/>
        <w:adjustRightInd/>
        <w:snapToGrid/>
        <w:spacing w:before="157" w:beforeLines="50" w:after="157" w:afterLines="50" w:line="360" w:lineRule="auto"/>
        <w:ind w:leftChars="0"/>
        <w:jc w:val="left"/>
        <w:textAlignment w:val="auto"/>
        <w:outlineLvl w:val="0"/>
        <w:rPr>
          <w:rFonts w:hint="eastAsia" w:ascii="微软雅黑" w:hAnsi="微软雅黑" w:eastAsia="微软雅黑" w:cs="微软雅黑"/>
          <w:b/>
          <w:bCs/>
          <w:color w:val="000000"/>
          <w:kern w:val="0"/>
          <w:sz w:val="24"/>
          <w:szCs w:val="24"/>
          <w:lang w:eastAsia="zh-CN"/>
        </w:rPr>
      </w:pPr>
      <w:r>
        <w:rPr>
          <w:rFonts w:hint="eastAsia" w:ascii="微软雅黑" w:hAnsi="微软雅黑" w:eastAsia="微软雅黑" w:cs="微软雅黑"/>
          <w:b/>
          <w:bCs/>
          <w:color w:val="000000"/>
          <w:kern w:val="0"/>
          <w:sz w:val="24"/>
          <w:szCs w:val="24"/>
          <w:lang w:eastAsia="zh-CN"/>
        </w:rPr>
        <w:t>福利待遇</w:t>
      </w:r>
    </w:p>
    <w:tbl>
      <w:tblPr>
        <w:tblStyle w:val="6"/>
        <w:tblW w:w="9665" w:type="dxa"/>
        <w:jc w:val="center"/>
        <w:tblLayout w:type="fixed"/>
        <w:tblCellMar>
          <w:top w:w="0" w:type="dxa"/>
          <w:left w:w="108" w:type="dxa"/>
          <w:bottom w:w="0" w:type="dxa"/>
          <w:right w:w="108" w:type="dxa"/>
        </w:tblCellMar>
      </w:tblPr>
      <w:tblGrid>
        <w:gridCol w:w="1028"/>
        <w:gridCol w:w="8637"/>
      </w:tblGrid>
      <w:tr>
        <w:tblPrEx>
          <w:tblCellMar>
            <w:top w:w="0" w:type="dxa"/>
            <w:left w:w="108" w:type="dxa"/>
            <w:bottom w:w="0" w:type="dxa"/>
            <w:right w:w="108" w:type="dxa"/>
          </w:tblCellMar>
        </w:tblPrEx>
        <w:trPr>
          <w:trHeight w:val="382" w:hRule="atLeast"/>
          <w:jc w:val="center"/>
        </w:trPr>
        <w:tc>
          <w:tcPr>
            <w:tcW w:w="102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outlineLvl w:val="9"/>
              <w:rPr>
                <w:rFonts w:hint="eastAsia" w:asciiTheme="minorEastAsia" w:hAnsiTheme="minorEastAsia" w:eastAsiaTheme="minorEastAsia" w:cstheme="minorEastAsia"/>
                <w:b/>
                <w:bCs/>
                <w:kern w:val="0"/>
                <w:sz w:val="20"/>
                <w:szCs w:val="20"/>
              </w:rPr>
            </w:pPr>
            <w:r>
              <w:rPr>
                <w:rFonts w:hint="eastAsia" w:asciiTheme="minorEastAsia" w:hAnsiTheme="minorEastAsia" w:eastAsiaTheme="minorEastAsia" w:cstheme="minorEastAsia"/>
                <w:b/>
                <w:bCs/>
                <w:kern w:val="0"/>
                <w:sz w:val="20"/>
                <w:szCs w:val="20"/>
              </w:rPr>
              <w:t>项目</w:t>
            </w:r>
          </w:p>
        </w:tc>
        <w:tc>
          <w:tcPr>
            <w:tcW w:w="863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outlineLvl w:val="9"/>
              <w:rPr>
                <w:rFonts w:hint="eastAsia" w:asciiTheme="minorEastAsia" w:hAnsiTheme="minorEastAsia" w:eastAsiaTheme="minorEastAsia" w:cstheme="minorEastAsia"/>
                <w:b/>
                <w:bCs/>
                <w:kern w:val="0"/>
                <w:sz w:val="20"/>
                <w:szCs w:val="20"/>
              </w:rPr>
            </w:pPr>
            <w:r>
              <w:rPr>
                <w:rFonts w:hint="eastAsia" w:asciiTheme="minorEastAsia" w:hAnsiTheme="minorEastAsia" w:eastAsiaTheme="minorEastAsia" w:cstheme="minorEastAsia"/>
                <w:b/>
                <w:bCs/>
                <w:kern w:val="0"/>
                <w:sz w:val="20"/>
                <w:szCs w:val="20"/>
              </w:rPr>
              <w:t>内容</w:t>
            </w:r>
          </w:p>
        </w:tc>
      </w:tr>
      <w:tr>
        <w:tblPrEx>
          <w:tblCellMar>
            <w:top w:w="0" w:type="dxa"/>
            <w:left w:w="108" w:type="dxa"/>
            <w:bottom w:w="0" w:type="dxa"/>
            <w:right w:w="108" w:type="dxa"/>
          </w:tblCellMar>
        </w:tblPrEx>
        <w:trPr>
          <w:trHeight w:val="342" w:hRule="atLeast"/>
          <w:jc w:val="center"/>
        </w:trPr>
        <w:tc>
          <w:tcPr>
            <w:tcW w:w="102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outlineLvl w:val="9"/>
              <w:rPr>
                <w:rFonts w:hint="eastAsia" w:asciiTheme="minorEastAsia" w:hAnsiTheme="minorEastAsia" w:eastAsiaTheme="minorEastAsia" w:cstheme="minorEastAsia"/>
                <w:color w:val="auto"/>
                <w:kern w:val="0"/>
                <w:sz w:val="20"/>
                <w:szCs w:val="20"/>
                <w:lang w:eastAsia="zh-CN"/>
              </w:rPr>
            </w:pPr>
            <w:r>
              <w:rPr>
                <w:rFonts w:hint="eastAsia" w:asciiTheme="minorEastAsia" w:hAnsiTheme="minorEastAsia" w:eastAsiaTheme="minorEastAsia" w:cstheme="minorEastAsia"/>
                <w:color w:val="auto"/>
                <w:kern w:val="0"/>
                <w:sz w:val="20"/>
                <w:szCs w:val="20"/>
                <w:lang w:eastAsia="zh-CN"/>
              </w:rPr>
              <w:t>综合收入</w:t>
            </w:r>
          </w:p>
        </w:tc>
        <w:tc>
          <w:tcPr>
            <w:tcW w:w="86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5"/>
              <w:keepNext w:val="0"/>
              <w:keepLines w:val="0"/>
              <w:pageBreakBefore w:val="0"/>
              <w:widowControl/>
              <w:numPr>
                <w:ilvl w:val="0"/>
                <w:numId w:val="0"/>
              </w:numPr>
              <w:kinsoku/>
              <w:wordWrap/>
              <w:overflowPunct/>
              <w:topLinePunct w:val="0"/>
              <w:autoSpaceDE/>
              <w:autoSpaceDN/>
              <w:bidi w:val="0"/>
              <w:adjustRightInd/>
              <w:snapToGrid/>
              <w:spacing w:line="288" w:lineRule="auto"/>
              <w:ind w:leftChars="0"/>
              <w:textAlignment w:val="auto"/>
              <w:outlineLvl w:val="9"/>
              <w:rPr>
                <w:rFonts w:hint="eastAsia" w:asciiTheme="minorEastAsia" w:hAnsiTheme="minorEastAsia" w:eastAsiaTheme="minorEastAsia" w:cstheme="minorEastAsia"/>
                <w:color w:val="auto"/>
                <w:sz w:val="20"/>
                <w:szCs w:val="20"/>
                <w:lang w:val="en-US" w:eastAsia="zh-CN"/>
              </w:rPr>
            </w:pPr>
            <w:r>
              <w:rPr>
                <w:rFonts w:hint="eastAsia" w:asciiTheme="minorEastAsia" w:hAnsiTheme="minorEastAsia" w:eastAsiaTheme="minorEastAsia" w:cstheme="minorEastAsia"/>
                <w:color w:val="auto"/>
                <w:sz w:val="20"/>
                <w:szCs w:val="20"/>
                <w:lang w:val="en-US" w:eastAsia="zh-CN"/>
              </w:rPr>
              <w:t>实习期综合收入4000～5500元，转正后综合收入4500～7500元。</w:t>
            </w:r>
          </w:p>
          <w:p>
            <w:pPr>
              <w:pStyle w:val="5"/>
              <w:keepNext w:val="0"/>
              <w:keepLines w:val="0"/>
              <w:pageBreakBefore w:val="0"/>
              <w:widowControl/>
              <w:numPr>
                <w:ilvl w:val="0"/>
                <w:numId w:val="0"/>
              </w:numPr>
              <w:kinsoku/>
              <w:wordWrap/>
              <w:overflowPunct/>
              <w:topLinePunct w:val="0"/>
              <w:autoSpaceDE/>
              <w:autoSpaceDN/>
              <w:bidi w:val="0"/>
              <w:adjustRightInd/>
              <w:snapToGrid/>
              <w:spacing w:line="288" w:lineRule="auto"/>
              <w:ind w:leftChars="0"/>
              <w:textAlignment w:val="auto"/>
              <w:outlineLvl w:val="9"/>
              <w:rPr>
                <w:rFonts w:hint="eastAsia" w:asciiTheme="minorEastAsia" w:hAnsiTheme="minorEastAsia" w:eastAsiaTheme="minorEastAsia" w:cstheme="minorEastAsia"/>
                <w:color w:val="auto"/>
                <w:sz w:val="20"/>
                <w:szCs w:val="20"/>
                <w:lang w:val="zh-CN" w:eastAsia="zh-CN"/>
              </w:rPr>
            </w:pPr>
            <w:r>
              <w:rPr>
                <w:rFonts w:hint="eastAsia" w:asciiTheme="minorEastAsia" w:hAnsiTheme="minorEastAsia" w:eastAsiaTheme="minorEastAsia" w:cstheme="minorEastAsia"/>
                <w:color w:val="auto"/>
                <w:sz w:val="20"/>
                <w:szCs w:val="20"/>
                <w:lang w:val="en-US" w:eastAsia="zh-CN"/>
              </w:rPr>
              <w:t>（工资收入随岗位、能力、经验等递增）</w:t>
            </w:r>
          </w:p>
        </w:tc>
      </w:tr>
      <w:tr>
        <w:tblPrEx>
          <w:tblCellMar>
            <w:top w:w="0" w:type="dxa"/>
            <w:left w:w="108" w:type="dxa"/>
            <w:bottom w:w="0" w:type="dxa"/>
            <w:right w:w="108" w:type="dxa"/>
          </w:tblCellMar>
        </w:tblPrEx>
        <w:trPr>
          <w:trHeight w:val="459" w:hRule="atLeast"/>
          <w:jc w:val="center"/>
        </w:trPr>
        <w:tc>
          <w:tcPr>
            <w:tcW w:w="102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outlineLvl w:val="9"/>
              <w:rPr>
                <w:rFonts w:hint="eastAsia" w:asciiTheme="minorEastAsia" w:hAnsiTheme="minorEastAsia" w:eastAsiaTheme="minorEastAsia" w:cstheme="minorEastAsia"/>
                <w:color w:val="auto"/>
                <w:kern w:val="0"/>
                <w:sz w:val="20"/>
                <w:szCs w:val="20"/>
                <w:lang w:eastAsia="zh-CN"/>
              </w:rPr>
            </w:pPr>
            <w:r>
              <w:rPr>
                <w:rFonts w:hint="eastAsia" w:asciiTheme="minorEastAsia" w:hAnsiTheme="minorEastAsia" w:eastAsiaTheme="minorEastAsia" w:cstheme="minorEastAsia"/>
                <w:color w:val="auto"/>
                <w:kern w:val="0"/>
                <w:sz w:val="20"/>
                <w:szCs w:val="20"/>
                <w:lang w:eastAsia="zh-CN"/>
              </w:rPr>
              <w:t>补贴</w:t>
            </w:r>
          </w:p>
        </w:tc>
        <w:tc>
          <w:tcPr>
            <w:tcW w:w="863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8" w:lineRule="auto"/>
              <w:jc w:val="left"/>
              <w:textAlignment w:val="auto"/>
              <w:outlineLvl w:val="9"/>
              <w:rPr>
                <w:rFonts w:hint="eastAsia" w:asciiTheme="minorEastAsia" w:hAnsiTheme="minorEastAsia" w:eastAsiaTheme="minorEastAsia" w:cstheme="minorEastAsia"/>
                <w:color w:val="auto"/>
                <w:kern w:val="0"/>
                <w:sz w:val="20"/>
                <w:szCs w:val="20"/>
              </w:rPr>
            </w:pPr>
            <w:r>
              <w:rPr>
                <w:rFonts w:hint="eastAsia" w:asciiTheme="minorEastAsia" w:hAnsiTheme="minorEastAsia" w:eastAsiaTheme="minorEastAsia" w:cstheme="minorEastAsia"/>
                <w:color w:val="auto"/>
                <w:kern w:val="0"/>
                <w:sz w:val="20"/>
                <w:szCs w:val="20"/>
                <w:lang w:eastAsia="zh-CN"/>
              </w:rPr>
              <w:t>伙食补贴</w:t>
            </w:r>
            <w:r>
              <w:rPr>
                <w:rFonts w:hint="eastAsia" w:asciiTheme="minorEastAsia" w:hAnsiTheme="minorEastAsia" w:eastAsiaTheme="minorEastAsia" w:cstheme="minorEastAsia"/>
                <w:color w:val="auto"/>
                <w:kern w:val="0"/>
                <w:sz w:val="20"/>
                <w:szCs w:val="20"/>
              </w:rPr>
              <w:t>15元/</w:t>
            </w:r>
            <w:r>
              <w:rPr>
                <w:rFonts w:hint="eastAsia" w:asciiTheme="minorEastAsia" w:hAnsiTheme="minorEastAsia" w:eastAsiaTheme="minorEastAsia" w:cstheme="minorEastAsia"/>
                <w:color w:val="auto"/>
                <w:kern w:val="0"/>
                <w:sz w:val="20"/>
                <w:szCs w:val="20"/>
                <w:lang w:eastAsia="zh-CN"/>
              </w:rPr>
              <w:t>天（夏季</w:t>
            </w:r>
            <w:r>
              <w:rPr>
                <w:rFonts w:hint="eastAsia" w:asciiTheme="minorEastAsia" w:hAnsiTheme="minorEastAsia" w:eastAsiaTheme="minorEastAsia" w:cstheme="minorEastAsia"/>
                <w:color w:val="auto"/>
                <w:kern w:val="0"/>
                <w:sz w:val="20"/>
                <w:szCs w:val="20"/>
                <w:lang w:val="en-US" w:eastAsia="zh-CN"/>
              </w:rPr>
              <w:t>17.5元/天），</w:t>
            </w:r>
            <w:r>
              <w:rPr>
                <w:rFonts w:hint="eastAsia" w:asciiTheme="minorEastAsia" w:hAnsiTheme="minorEastAsia" w:eastAsiaTheme="minorEastAsia" w:cstheme="minorEastAsia"/>
                <w:color w:val="auto"/>
                <w:kern w:val="0"/>
                <w:sz w:val="20"/>
                <w:szCs w:val="20"/>
                <w:lang w:eastAsia="zh-CN"/>
              </w:rPr>
              <w:t>夜班额外津贴</w:t>
            </w:r>
            <w:r>
              <w:rPr>
                <w:rFonts w:hint="eastAsia" w:asciiTheme="minorEastAsia" w:hAnsiTheme="minorEastAsia" w:eastAsiaTheme="minorEastAsia" w:cstheme="minorEastAsia"/>
                <w:color w:val="auto"/>
                <w:kern w:val="0"/>
                <w:sz w:val="20"/>
                <w:szCs w:val="20"/>
                <w:lang w:val="en-US" w:eastAsia="zh-CN"/>
              </w:rPr>
              <w:t>12元/天</w:t>
            </w:r>
          </w:p>
        </w:tc>
      </w:tr>
      <w:tr>
        <w:tblPrEx>
          <w:tblCellMar>
            <w:top w:w="0" w:type="dxa"/>
            <w:left w:w="108" w:type="dxa"/>
            <w:bottom w:w="0" w:type="dxa"/>
            <w:right w:w="108" w:type="dxa"/>
          </w:tblCellMar>
        </w:tblPrEx>
        <w:trPr>
          <w:trHeight w:val="412" w:hRule="atLeast"/>
          <w:jc w:val="center"/>
        </w:trPr>
        <w:tc>
          <w:tcPr>
            <w:tcW w:w="102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outlineLvl w:val="9"/>
              <w:rPr>
                <w:rFonts w:hint="eastAsia" w:asciiTheme="minorEastAsia" w:hAnsiTheme="minorEastAsia" w:eastAsiaTheme="minorEastAsia" w:cstheme="minorEastAsia"/>
                <w:color w:val="auto"/>
                <w:kern w:val="0"/>
                <w:sz w:val="20"/>
                <w:szCs w:val="20"/>
              </w:rPr>
            </w:pPr>
            <w:r>
              <w:rPr>
                <w:rFonts w:hint="eastAsia" w:asciiTheme="minorEastAsia" w:hAnsiTheme="minorEastAsia" w:eastAsiaTheme="minorEastAsia" w:cstheme="minorEastAsia"/>
                <w:color w:val="auto"/>
                <w:kern w:val="0"/>
                <w:sz w:val="20"/>
                <w:szCs w:val="20"/>
              </w:rPr>
              <w:t>班车</w:t>
            </w:r>
          </w:p>
        </w:tc>
        <w:tc>
          <w:tcPr>
            <w:tcW w:w="863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8" w:lineRule="auto"/>
              <w:jc w:val="left"/>
              <w:textAlignment w:val="auto"/>
              <w:outlineLvl w:val="9"/>
              <w:rPr>
                <w:rFonts w:hint="eastAsia" w:asciiTheme="minorEastAsia" w:hAnsiTheme="minorEastAsia" w:eastAsiaTheme="minorEastAsia" w:cstheme="minorEastAsia"/>
                <w:color w:val="auto"/>
                <w:kern w:val="0"/>
                <w:sz w:val="20"/>
                <w:szCs w:val="20"/>
                <w:lang w:eastAsia="zh-CN"/>
              </w:rPr>
            </w:pPr>
            <w:r>
              <w:rPr>
                <w:rFonts w:hint="eastAsia" w:asciiTheme="minorEastAsia" w:hAnsiTheme="minorEastAsia" w:eastAsiaTheme="minorEastAsia" w:cstheme="minorEastAsia"/>
                <w:color w:val="auto"/>
                <w:kern w:val="0"/>
                <w:sz w:val="20"/>
                <w:szCs w:val="20"/>
                <w:lang w:eastAsia="zh-CN"/>
              </w:rPr>
              <w:t>公司上下班配备免费班车；</w:t>
            </w:r>
          </w:p>
          <w:p>
            <w:pPr>
              <w:keepNext w:val="0"/>
              <w:keepLines w:val="0"/>
              <w:pageBreakBefore w:val="0"/>
              <w:widowControl/>
              <w:kinsoku/>
              <w:wordWrap/>
              <w:overflowPunct/>
              <w:topLinePunct w:val="0"/>
              <w:autoSpaceDE/>
              <w:autoSpaceDN/>
              <w:bidi w:val="0"/>
              <w:adjustRightInd/>
              <w:snapToGrid/>
              <w:spacing w:line="288" w:lineRule="auto"/>
              <w:jc w:val="left"/>
              <w:textAlignment w:val="auto"/>
              <w:outlineLvl w:val="9"/>
              <w:rPr>
                <w:rFonts w:hint="eastAsia" w:asciiTheme="minorEastAsia" w:hAnsiTheme="minorEastAsia" w:eastAsiaTheme="minorEastAsia" w:cstheme="minorEastAsia"/>
                <w:color w:val="auto"/>
                <w:kern w:val="0"/>
                <w:sz w:val="20"/>
                <w:szCs w:val="20"/>
                <w:lang w:eastAsia="zh-CN"/>
              </w:rPr>
            </w:pPr>
            <w:r>
              <w:rPr>
                <w:rFonts w:hint="eastAsia" w:asciiTheme="minorEastAsia" w:hAnsiTheme="minorEastAsia" w:eastAsiaTheme="minorEastAsia" w:cstheme="minorEastAsia"/>
                <w:color w:val="auto"/>
                <w:kern w:val="0"/>
                <w:sz w:val="20"/>
                <w:szCs w:val="20"/>
                <w:lang w:eastAsia="zh-CN"/>
              </w:rPr>
              <w:t>南京基地</w:t>
            </w:r>
            <w:r>
              <w:rPr>
                <w:rFonts w:hint="default" w:asciiTheme="minorEastAsia" w:hAnsiTheme="minorEastAsia" w:eastAsiaTheme="minorEastAsia" w:cstheme="minorEastAsia"/>
                <w:color w:val="auto"/>
                <w:kern w:val="0"/>
                <w:sz w:val="20"/>
                <w:szCs w:val="20"/>
                <w:lang w:eastAsia="zh-CN"/>
              </w:rPr>
              <w:t>宿舍由公司自建，生活工作无缝衔接，无需班车</w:t>
            </w:r>
          </w:p>
        </w:tc>
      </w:tr>
      <w:tr>
        <w:tblPrEx>
          <w:tblCellMar>
            <w:top w:w="0" w:type="dxa"/>
            <w:left w:w="108" w:type="dxa"/>
            <w:bottom w:w="0" w:type="dxa"/>
            <w:right w:w="108" w:type="dxa"/>
          </w:tblCellMar>
        </w:tblPrEx>
        <w:trPr>
          <w:trHeight w:val="807" w:hRule="atLeast"/>
          <w:jc w:val="center"/>
        </w:trPr>
        <w:tc>
          <w:tcPr>
            <w:tcW w:w="102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8" w:lineRule="auto"/>
              <w:jc w:val="center"/>
              <w:textAlignment w:val="auto"/>
              <w:outlineLvl w:val="9"/>
              <w:rPr>
                <w:rFonts w:hint="eastAsia"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20"/>
                <w:szCs w:val="20"/>
              </w:rPr>
              <w:t>住宿</w:t>
            </w:r>
          </w:p>
        </w:tc>
        <w:tc>
          <w:tcPr>
            <w:tcW w:w="863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8" w:lineRule="auto"/>
              <w:jc w:val="left"/>
              <w:textAlignment w:val="auto"/>
              <w:outlineLvl w:val="9"/>
              <w:rPr>
                <w:rFonts w:hint="eastAsia" w:asciiTheme="minorEastAsia" w:hAnsiTheme="minorEastAsia" w:eastAsiaTheme="minorEastAsia" w:cstheme="minorEastAsia"/>
                <w:kern w:val="0"/>
                <w:sz w:val="20"/>
                <w:szCs w:val="20"/>
              </w:rPr>
            </w:pPr>
            <w:r>
              <w:rPr>
                <w:rFonts w:hint="eastAsia" w:asciiTheme="minorEastAsia" w:hAnsiTheme="minorEastAsia" w:eastAsiaTheme="minorEastAsia" w:cstheme="minorEastAsia"/>
                <w:color w:val="auto"/>
                <w:sz w:val="20"/>
                <w:szCs w:val="20"/>
                <w:shd w:val="clear" w:color="auto" w:fill="FFFFFF"/>
              </w:rPr>
              <w:t>免费提供员工宿舍</w:t>
            </w:r>
            <w:r>
              <w:rPr>
                <w:rFonts w:hint="eastAsia" w:asciiTheme="minorEastAsia" w:hAnsiTheme="minorEastAsia" w:eastAsiaTheme="minorEastAsia" w:cstheme="minorEastAsia"/>
                <w:color w:val="auto"/>
                <w:sz w:val="20"/>
                <w:szCs w:val="20"/>
                <w:shd w:val="clear" w:color="auto" w:fill="FFFFFF"/>
                <w:lang w:eastAsia="zh-CN"/>
              </w:rPr>
              <w:t>（</w:t>
            </w:r>
            <w:r>
              <w:rPr>
                <w:rFonts w:hint="eastAsia" w:asciiTheme="minorEastAsia" w:hAnsiTheme="minorEastAsia" w:eastAsiaTheme="minorEastAsia" w:cstheme="minorEastAsia"/>
                <w:color w:val="auto"/>
                <w:sz w:val="20"/>
                <w:szCs w:val="20"/>
                <w:shd w:val="clear" w:color="auto" w:fill="FFFFFF"/>
              </w:rPr>
              <w:t>标准4人/间</w:t>
            </w:r>
            <w:r>
              <w:rPr>
                <w:rFonts w:hint="eastAsia" w:asciiTheme="minorEastAsia" w:hAnsiTheme="minorEastAsia" w:eastAsiaTheme="minorEastAsia" w:cstheme="minorEastAsia"/>
                <w:color w:val="auto"/>
                <w:sz w:val="20"/>
                <w:szCs w:val="20"/>
                <w:shd w:val="clear" w:color="auto" w:fill="FFFFFF"/>
                <w:lang w:eastAsia="zh-CN"/>
              </w:rPr>
              <w:t>）</w:t>
            </w:r>
            <w:r>
              <w:rPr>
                <w:rFonts w:hint="eastAsia" w:asciiTheme="minorEastAsia" w:hAnsiTheme="minorEastAsia" w:eastAsiaTheme="minorEastAsia" w:cstheme="minorEastAsia"/>
                <w:color w:val="auto"/>
                <w:sz w:val="20"/>
                <w:szCs w:val="20"/>
                <w:shd w:val="clear" w:color="auto" w:fill="FFFFFF"/>
              </w:rPr>
              <w:t>，内设独立卫生间、生活阳台、暖气、空调、洗衣机、饮水机、热水器等生活设施齐全。</w:t>
            </w:r>
          </w:p>
        </w:tc>
      </w:tr>
      <w:tr>
        <w:tblPrEx>
          <w:tblCellMar>
            <w:top w:w="0" w:type="dxa"/>
            <w:left w:w="108" w:type="dxa"/>
            <w:bottom w:w="0" w:type="dxa"/>
            <w:right w:w="108" w:type="dxa"/>
          </w:tblCellMar>
        </w:tblPrEx>
        <w:trPr>
          <w:trHeight w:val="1883" w:hRule="atLeast"/>
          <w:jc w:val="center"/>
        </w:trPr>
        <w:tc>
          <w:tcPr>
            <w:tcW w:w="102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0"/>
              </w:numPr>
              <w:kinsoku/>
              <w:wordWrap/>
              <w:overflowPunct/>
              <w:topLinePunct w:val="0"/>
              <w:autoSpaceDE/>
              <w:autoSpaceDN/>
              <w:bidi w:val="0"/>
              <w:adjustRightInd/>
              <w:snapToGrid/>
              <w:spacing w:line="288" w:lineRule="auto"/>
              <w:ind w:firstLine="200" w:firstLineChars="100"/>
              <w:jc w:val="left"/>
              <w:textAlignment w:val="auto"/>
              <w:outlineLvl w:val="9"/>
              <w:rPr>
                <w:rFonts w:hint="eastAsia" w:asciiTheme="minorEastAsia" w:hAnsiTheme="minorEastAsia" w:eastAsiaTheme="minorEastAsia" w:cstheme="minorEastAsia"/>
                <w:color w:val="auto"/>
                <w:kern w:val="0"/>
                <w:sz w:val="20"/>
                <w:szCs w:val="20"/>
                <w:lang w:eastAsia="zh-CN"/>
              </w:rPr>
            </w:pPr>
            <w:r>
              <w:rPr>
                <w:rFonts w:hint="eastAsia" w:asciiTheme="minorEastAsia" w:hAnsiTheme="minorEastAsia" w:eastAsiaTheme="minorEastAsia" w:cstheme="minorEastAsia"/>
                <w:color w:val="auto"/>
                <w:kern w:val="0"/>
                <w:sz w:val="20"/>
                <w:szCs w:val="20"/>
                <w:lang w:eastAsia="zh-CN"/>
              </w:rPr>
              <w:t>福利</w:t>
            </w:r>
          </w:p>
        </w:tc>
        <w:tc>
          <w:tcPr>
            <w:tcW w:w="863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1"/>
              </w:numPr>
              <w:kinsoku/>
              <w:wordWrap/>
              <w:overflowPunct/>
              <w:topLinePunct w:val="0"/>
              <w:autoSpaceDE/>
              <w:autoSpaceDN/>
              <w:bidi w:val="0"/>
              <w:adjustRightInd/>
              <w:snapToGrid/>
              <w:spacing w:line="288" w:lineRule="auto"/>
              <w:jc w:val="left"/>
              <w:textAlignment w:val="auto"/>
              <w:outlineLvl w:val="9"/>
              <w:rPr>
                <w:rFonts w:hint="eastAsia" w:asciiTheme="minorEastAsia" w:hAnsiTheme="minorEastAsia" w:eastAsiaTheme="minorEastAsia" w:cstheme="minorEastAsia"/>
                <w:color w:val="auto"/>
                <w:kern w:val="0"/>
                <w:sz w:val="20"/>
                <w:szCs w:val="20"/>
                <w:lang w:eastAsia="zh-CN"/>
              </w:rPr>
            </w:pPr>
            <w:r>
              <w:rPr>
                <w:rFonts w:hint="eastAsia" w:asciiTheme="minorEastAsia" w:hAnsiTheme="minorEastAsia" w:eastAsiaTheme="minorEastAsia" w:cstheme="minorEastAsia"/>
                <w:color w:val="auto"/>
                <w:kern w:val="0"/>
                <w:sz w:val="20"/>
                <w:szCs w:val="20"/>
                <w:lang w:eastAsia="zh-CN"/>
              </w:rPr>
              <w:t>五险一金（实习生转正式工后购买五险一金）；</w:t>
            </w:r>
          </w:p>
          <w:p>
            <w:pPr>
              <w:keepNext w:val="0"/>
              <w:keepLines w:val="0"/>
              <w:pageBreakBefore w:val="0"/>
              <w:widowControl/>
              <w:numPr>
                <w:ilvl w:val="0"/>
                <w:numId w:val="1"/>
              </w:numPr>
              <w:kinsoku/>
              <w:wordWrap/>
              <w:overflowPunct/>
              <w:topLinePunct w:val="0"/>
              <w:autoSpaceDE/>
              <w:autoSpaceDN/>
              <w:bidi w:val="0"/>
              <w:adjustRightInd/>
              <w:snapToGrid/>
              <w:spacing w:line="288" w:lineRule="auto"/>
              <w:jc w:val="left"/>
              <w:textAlignment w:val="auto"/>
              <w:outlineLvl w:val="9"/>
              <w:rPr>
                <w:rFonts w:hint="eastAsia" w:asciiTheme="minorEastAsia" w:hAnsiTheme="minorEastAsia" w:eastAsiaTheme="minorEastAsia" w:cstheme="minorEastAsia"/>
                <w:color w:val="auto"/>
                <w:kern w:val="0"/>
                <w:sz w:val="20"/>
                <w:szCs w:val="20"/>
                <w:lang w:eastAsia="zh-CN"/>
              </w:rPr>
            </w:pPr>
            <w:r>
              <w:rPr>
                <w:rFonts w:hint="eastAsia" w:asciiTheme="minorEastAsia" w:hAnsiTheme="minorEastAsia" w:eastAsiaTheme="minorEastAsia" w:cstheme="minorEastAsia"/>
                <w:color w:val="auto"/>
                <w:kern w:val="0"/>
                <w:sz w:val="20"/>
                <w:szCs w:val="20"/>
                <w:lang w:eastAsia="zh-CN"/>
              </w:rPr>
              <w:t>公司为员工购买</w:t>
            </w:r>
            <w:r>
              <w:rPr>
                <w:rFonts w:hint="eastAsia" w:asciiTheme="minorEastAsia" w:hAnsiTheme="minorEastAsia" w:eastAsiaTheme="minorEastAsia" w:cstheme="minorEastAsia"/>
                <w:color w:val="auto"/>
                <w:kern w:val="0"/>
                <w:sz w:val="20"/>
                <w:szCs w:val="20"/>
                <w:lang w:val="en-US" w:eastAsia="zh-CN"/>
              </w:rPr>
              <w:t>商业保险10份，</w:t>
            </w:r>
            <w:r>
              <w:rPr>
                <w:rFonts w:hint="eastAsia" w:asciiTheme="minorEastAsia" w:hAnsiTheme="minorEastAsia" w:eastAsiaTheme="minorEastAsia" w:cstheme="minorEastAsia"/>
                <w:color w:val="auto"/>
                <w:kern w:val="0"/>
                <w:sz w:val="20"/>
                <w:szCs w:val="20"/>
                <w:lang w:eastAsia="zh-CN"/>
              </w:rPr>
              <w:t>员工可为自己的家属亲人在公司内部购买商业保险等；</w:t>
            </w:r>
          </w:p>
          <w:p>
            <w:pPr>
              <w:keepNext w:val="0"/>
              <w:keepLines w:val="0"/>
              <w:pageBreakBefore w:val="0"/>
              <w:widowControl/>
              <w:numPr>
                <w:ilvl w:val="0"/>
                <w:numId w:val="1"/>
              </w:numPr>
              <w:kinsoku/>
              <w:wordWrap/>
              <w:overflowPunct/>
              <w:topLinePunct w:val="0"/>
              <w:autoSpaceDE/>
              <w:autoSpaceDN/>
              <w:bidi w:val="0"/>
              <w:adjustRightInd/>
              <w:snapToGrid/>
              <w:spacing w:line="288" w:lineRule="auto"/>
              <w:jc w:val="left"/>
              <w:textAlignment w:val="auto"/>
              <w:outlineLvl w:val="9"/>
              <w:rPr>
                <w:rFonts w:hint="eastAsia" w:asciiTheme="minorEastAsia" w:hAnsiTheme="minorEastAsia" w:eastAsiaTheme="minorEastAsia" w:cstheme="minorEastAsia"/>
                <w:color w:val="auto"/>
                <w:kern w:val="0"/>
                <w:sz w:val="20"/>
                <w:szCs w:val="20"/>
                <w:lang w:eastAsia="zh-CN"/>
              </w:rPr>
            </w:pPr>
            <w:r>
              <w:rPr>
                <w:rFonts w:hint="eastAsia" w:asciiTheme="minorEastAsia" w:hAnsiTheme="minorEastAsia" w:eastAsiaTheme="minorEastAsia" w:cstheme="minorEastAsia"/>
                <w:color w:val="auto"/>
                <w:kern w:val="0"/>
                <w:sz w:val="20"/>
                <w:szCs w:val="20"/>
                <w:lang w:eastAsia="zh-CN"/>
              </w:rPr>
              <w:t>年终双薪</w:t>
            </w:r>
            <w:r>
              <w:rPr>
                <w:rFonts w:hint="eastAsia" w:asciiTheme="minorEastAsia" w:hAnsiTheme="minorEastAsia" w:eastAsiaTheme="minorEastAsia" w:cstheme="minorEastAsia"/>
                <w:color w:val="auto"/>
                <w:kern w:val="0"/>
                <w:sz w:val="20"/>
                <w:szCs w:val="20"/>
                <w:lang w:val="en-US" w:eastAsia="zh-CN"/>
              </w:rPr>
              <w:t>/项目奖金；</w:t>
            </w:r>
          </w:p>
          <w:p>
            <w:pPr>
              <w:keepNext w:val="0"/>
              <w:keepLines w:val="0"/>
              <w:pageBreakBefore w:val="0"/>
              <w:widowControl/>
              <w:numPr>
                <w:ilvl w:val="0"/>
                <w:numId w:val="1"/>
              </w:numPr>
              <w:kinsoku/>
              <w:wordWrap/>
              <w:overflowPunct/>
              <w:topLinePunct w:val="0"/>
              <w:autoSpaceDE/>
              <w:autoSpaceDN/>
              <w:bidi w:val="0"/>
              <w:adjustRightInd/>
              <w:snapToGrid/>
              <w:spacing w:line="288" w:lineRule="auto"/>
              <w:jc w:val="left"/>
              <w:textAlignment w:val="auto"/>
              <w:outlineLvl w:val="9"/>
              <w:rPr>
                <w:rFonts w:hint="eastAsia" w:asciiTheme="minorEastAsia" w:hAnsiTheme="minorEastAsia" w:eastAsiaTheme="minorEastAsia" w:cstheme="minorEastAsia"/>
                <w:color w:val="auto"/>
                <w:kern w:val="0"/>
                <w:sz w:val="20"/>
                <w:szCs w:val="20"/>
                <w:lang w:eastAsia="zh-CN"/>
              </w:rPr>
            </w:pPr>
            <w:r>
              <w:rPr>
                <w:rFonts w:hint="eastAsia" w:asciiTheme="minorEastAsia" w:hAnsiTheme="minorEastAsia" w:eastAsiaTheme="minorEastAsia" w:cstheme="minorEastAsia"/>
                <w:color w:val="auto"/>
                <w:kern w:val="0"/>
                <w:sz w:val="20"/>
                <w:szCs w:val="20"/>
                <w:lang w:eastAsia="zh-CN"/>
              </w:rPr>
              <w:t>定期组织员工免费体检、举办员工活动，节日、生日发放员工礼品；</w:t>
            </w:r>
          </w:p>
          <w:p>
            <w:pPr>
              <w:keepNext w:val="0"/>
              <w:keepLines w:val="0"/>
              <w:pageBreakBefore w:val="0"/>
              <w:widowControl/>
              <w:numPr>
                <w:ilvl w:val="0"/>
                <w:numId w:val="1"/>
              </w:numPr>
              <w:kinsoku/>
              <w:wordWrap/>
              <w:overflowPunct/>
              <w:topLinePunct w:val="0"/>
              <w:autoSpaceDE/>
              <w:autoSpaceDN/>
              <w:bidi w:val="0"/>
              <w:adjustRightInd/>
              <w:snapToGrid/>
              <w:spacing w:line="288" w:lineRule="auto"/>
              <w:jc w:val="left"/>
              <w:textAlignment w:val="auto"/>
              <w:outlineLvl w:val="9"/>
              <w:rPr>
                <w:rFonts w:hint="eastAsia" w:asciiTheme="minorEastAsia" w:hAnsiTheme="minorEastAsia" w:eastAsiaTheme="minorEastAsia" w:cstheme="minorEastAsia"/>
                <w:color w:val="auto"/>
                <w:kern w:val="0"/>
                <w:sz w:val="20"/>
                <w:szCs w:val="20"/>
                <w:lang w:eastAsia="zh-CN"/>
              </w:rPr>
            </w:pPr>
            <w:r>
              <w:rPr>
                <w:rFonts w:hint="eastAsia" w:asciiTheme="minorEastAsia" w:hAnsiTheme="minorEastAsia" w:eastAsiaTheme="minorEastAsia" w:cstheme="minorEastAsia"/>
                <w:color w:val="auto"/>
                <w:kern w:val="0"/>
                <w:sz w:val="20"/>
                <w:szCs w:val="20"/>
                <w:lang w:eastAsia="zh-CN"/>
              </w:rPr>
              <w:t>公司统一食堂就餐，食堂菜品种类丰富，有粤菜、川菜、湘菜、北方面点等供员工自由选择；</w:t>
            </w:r>
          </w:p>
          <w:p>
            <w:pPr>
              <w:keepNext w:val="0"/>
              <w:keepLines w:val="0"/>
              <w:pageBreakBefore w:val="0"/>
              <w:widowControl/>
              <w:numPr>
                <w:ilvl w:val="0"/>
                <w:numId w:val="1"/>
              </w:numPr>
              <w:kinsoku/>
              <w:wordWrap/>
              <w:overflowPunct/>
              <w:topLinePunct w:val="0"/>
              <w:autoSpaceDE/>
              <w:autoSpaceDN/>
              <w:bidi w:val="0"/>
              <w:adjustRightInd/>
              <w:snapToGrid/>
              <w:spacing w:line="288" w:lineRule="auto"/>
              <w:jc w:val="left"/>
              <w:textAlignment w:val="auto"/>
              <w:outlineLvl w:val="9"/>
              <w:rPr>
                <w:rFonts w:hint="eastAsia" w:asciiTheme="minorEastAsia" w:hAnsiTheme="minorEastAsia" w:eastAsiaTheme="minorEastAsia" w:cstheme="minorEastAsia"/>
                <w:color w:val="auto"/>
                <w:kern w:val="0"/>
                <w:sz w:val="20"/>
                <w:szCs w:val="20"/>
                <w:lang w:eastAsia="zh-CN"/>
              </w:rPr>
            </w:pPr>
            <w:r>
              <w:rPr>
                <w:rFonts w:hint="eastAsia" w:asciiTheme="minorEastAsia" w:hAnsiTheme="minorEastAsia" w:eastAsiaTheme="minorEastAsia" w:cstheme="minorEastAsia"/>
                <w:color w:val="auto"/>
                <w:kern w:val="0"/>
                <w:sz w:val="20"/>
                <w:szCs w:val="20"/>
                <w:lang w:eastAsia="zh-CN"/>
              </w:rPr>
              <w:t>员工按照国家规定享受带薪年假、产假、婚假等假期；</w:t>
            </w:r>
          </w:p>
          <w:p>
            <w:pPr>
              <w:keepNext w:val="0"/>
              <w:keepLines w:val="0"/>
              <w:pageBreakBefore w:val="0"/>
              <w:widowControl/>
              <w:numPr>
                <w:ilvl w:val="0"/>
                <w:numId w:val="1"/>
              </w:numPr>
              <w:kinsoku/>
              <w:wordWrap/>
              <w:overflowPunct/>
              <w:topLinePunct w:val="0"/>
              <w:autoSpaceDE/>
              <w:autoSpaceDN/>
              <w:bidi w:val="0"/>
              <w:adjustRightInd/>
              <w:snapToGrid/>
              <w:spacing w:line="288" w:lineRule="auto"/>
              <w:jc w:val="left"/>
              <w:textAlignment w:val="auto"/>
              <w:outlineLvl w:val="9"/>
              <w:rPr>
                <w:rFonts w:hint="eastAsia" w:asciiTheme="minorEastAsia" w:hAnsiTheme="minorEastAsia" w:eastAsiaTheme="minorEastAsia" w:cstheme="minorEastAsia"/>
                <w:color w:val="auto"/>
                <w:kern w:val="0"/>
                <w:sz w:val="20"/>
                <w:szCs w:val="20"/>
                <w:lang w:eastAsia="zh-CN"/>
              </w:rPr>
            </w:pPr>
            <w:r>
              <w:rPr>
                <w:rFonts w:hint="eastAsia" w:asciiTheme="minorEastAsia" w:hAnsiTheme="minorEastAsia" w:eastAsiaTheme="minorEastAsia" w:cstheme="minorEastAsia"/>
                <w:color w:val="auto"/>
                <w:kern w:val="0"/>
                <w:sz w:val="20"/>
                <w:szCs w:val="20"/>
                <w:lang w:eastAsia="zh-CN"/>
              </w:rPr>
              <w:t>根据当地相关户口迁入政策，公司协助员工办理户口迁入；</w:t>
            </w:r>
          </w:p>
          <w:p>
            <w:pPr>
              <w:keepNext w:val="0"/>
              <w:keepLines w:val="0"/>
              <w:pageBreakBefore w:val="0"/>
              <w:widowControl/>
              <w:numPr>
                <w:ilvl w:val="0"/>
                <w:numId w:val="1"/>
              </w:numPr>
              <w:kinsoku/>
              <w:wordWrap/>
              <w:overflowPunct/>
              <w:topLinePunct w:val="0"/>
              <w:autoSpaceDE/>
              <w:autoSpaceDN/>
              <w:bidi w:val="0"/>
              <w:adjustRightInd/>
              <w:snapToGrid/>
              <w:spacing w:line="288" w:lineRule="auto"/>
              <w:jc w:val="left"/>
              <w:textAlignment w:val="auto"/>
              <w:outlineLvl w:val="9"/>
              <w:rPr>
                <w:rFonts w:hint="eastAsia" w:asciiTheme="minorEastAsia" w:hAnsiTheme="minorEastAsia" w:eastAsiaTheme="minorEastAsia" w:cstheme="minorEastAsia"/>
                <w:color w:val="auto"/>
                <w:kern w:val="0"/>
                <w:sz w:val="20"/>
                <w:szCs w:val="20"/>
                <w:lang w:eastAsia="zh-CN"/>
              </w:rPr>
            </w:pPr>
            <w:r>
              <w:rPr>
                <w:rFonts w:hint="eastAsia" w:asciiTheme="minorEastAsia" w:hAnsiTheme="minorEastAsia" w:eastAsiaTheme="minorEastAsia" w:cstheme="minorEastAsia"/>
                <w:color w:val="auto"/>
                <w:kern w:val="0"/>
                <w:sz w:val="20"/>
                <w:szCs w:val="20"/>
                <w:lang w:eastAsia="zh-CN"/>
              </w:rPr>
              <w:t>完善的职业晋升通道，可在业务、技术与管理等三个方向进行职业提升；</w:t>
            </w:r>
          </w:p>
          <w:p>
            <w:pPr>
              <w:keepNext w:val="0"/>
              <w:keepLines w:val="0"/>
              <w:pageBreakBefore w:val="0"/>
              <w:widowControl/>
              <w:numPr>
                <w:ilvl w:val="0"/>
                <w:numId w:val="1"/>
              </w:numPr>
              <w:kinsoku/>
              <w:wordWrap/>
              <w:overflowPunct/>
              <w:topLinePunct w:val="0"/>
              <w:autoSpaceDE/>
              <w:autoSpaceDN/>
              <w:bidi w:val="0"/>
              <w:adjustRightInd/>
              <w:snapToGrid/>
              <w:spacing w:line="288" w:lineRule="auto"/>
              <w:jc w:val="left"/>
              <w:textAlignment w:val="auto"/>
              <w:outlineLvl w:val="9"/>
              <w:rPr>
                <w:rFonts w:hint="eastAsia" w:asciiTheme="minorEastAsia" w:hAnsiTheme="minorEastAsia" w:eastAsiaTheme="minorEastAsia" w:cstheme="minorEastAsia"/>
                <w:color w:val="auto"/>
                <w:kern w:val="0"/>
                <w:sz w:val="20"/>
                <w:szCs w:val="20"/>
                <w:lang w:eastAsia="zh-CN"/>
              </w:rPr>
            </w:pPr>
            <w:r>
              <w:rPr>
                <w:rFonts w:hint="eastAsia" w:asciiTheme="minorEastAsia" w:hAnsiTheme="minorEastAsia" w:eastAsiaTheme="minorEastAsia" w:cstheme="minorEastAsia"/>
                <w:color w:val="auto"/>
                <w:kern w:val="0"/>
                <w:sz w:val="20"/>
                <w:szCs w:val="20"/>
                <w:lang w:eastAsia="zh-CN"/>
              </w:rPr>
              <w:t>公司会根据员工需求，不定期联合工会、团委等机构，提供外部学校（大专、本科院校）资源，为一线员工提供学历深造的机会；</w:t>
            </w:r>
          </w:p>
          <w:p>
            <w:pPr>
              <w:keepNext w:val="0"/>
              <w:keepLines w:val="0"/>
              <w:pageBreakBefore w:val="0"/>
              <w:widowControl/>
              <w:numPr>
                <w:ilvl w:val="0"/>
                <w:numId w:val="1"/>
              </w:numPr>
              <w:kinsoku/>
              <w:wordWrap/>
              <w:overflowPunct/>
              <w:topLinePunct w:val="0"/>
              <w:autoSpaceDE/>
              <w:autoSpaceDN/>
              <w:bidi w:val="0"/>
              <w:adjustRightInd/>
              <w:snapToGrid/>
              <w:spacing w:line="288" w:lineRule="auto"/>
              <w:jc w:val="left"/>
              <w:textAlignment w:val="auto"/>
              <w:outlineLvl w:val="9"/>
              <w:rPr>
                <w:rFonts w:hint="eastAsia" w:asciiTheme="minorEastAsia" w:hAnsiTheme="minorEastAsia" w:eastAsiaTheme="minorEastAsia" w:cstheme="minorEastAsia"/>
                <w:color w:val="auto"/>
                <w:kern w:val="0"/>
                <w:sz w:val="20"/>
                <w:szCs w:val="20"/>
                <w:lang w:eastAsia="zh-CN"/>
              </w:rPr>
            </w:pPr>
            <w:r>
              <w:rPr>
                <w:rFonts w:hint="eastAsia" w:asciiTheme="minorEastAsia" w:hAnsiTheme="minorEastAsia" w:eastAsiaTheme="minorEastAsia" w:cstheme="minorEastAsia"/>
                <w:color w:val="auto"/>
                <w:kern w:val="0"/>
                <w:sz w:val="20"/>
                <w:szCs w:val="20"/>
                <w:lang w:val="en-US" w:eastAsia="zh-CN"/>
              </w:rPr>
              <w:t>中兴通讯基地周边有餐厅、超市、医院、运动场、公交站等设施，员工工作、生活便利。</w:t>
            </w:r>
          </w:p>
        </w:tc>
      </w:tr>
    </w:tbl>
    <w:p>
      <w:pPr>
        <w:keepNext w:val="0"/>
        <w:keepLines w:val="0"/>
        <w:pageBreakBefore w:val="0"/>
        <w:widowControl w:val="0"/>
        <w:kinsoku/>
        <w:wordWrap/>
        <w:overflowPunct/>
        <w:topLinePunct w:val="0"/>
        <w:autoSpaceDE w:val="0"/>
        <w:autoSpaceDN w:val="0"/>
        <w:bidi w:val="0"/>
        <w:adjustRightInd w:val="0"/>
        <w:snapToGrid/>
        <w:spacing w:before="313" w:beforeLines="100" w:line="360" w:lineRule="auto"/>
        <w:ind w:left="0" w:leftChars="0" w:right="0" w:rightChars="0" w:firstLine="0" w:firstLineChars="0"/>
        <w:jc w:val="left"/>
        <w:textAlignment w:val="auto"/>
        <w:outlineLvl w:val="9"/>
        <w:rPr>
          <w:rFonts w:hint="eastAsia" w:ascii="微软雅黑" w:hAnsi="微软雅黑" w:eastAsia="微软雅黑" w:cs="微软雅黑"/>
          <w:b/>
          <w:bCs/>
          <w:color w:val="000000"/>
          <w:kern w:val="0"/>
          <w:sz w:val="24"/>
          <w:szCs w:val="24"/>
          <w:lang w:eastAsia="zh-CN"/>
        </w:rPr>
      </w:pPr>
      <w:r>
        <w:rPr>
          <w:rFonts w:hint="eastAsia" w:ascii="微软雅黑" w:hAnsi="微软雅黑" w:eastAsia="微软雅黑" w:cs="微软雅黑"/>
          <w:b/>
          <w:bCs/>
          <w:color w:val="000000"/>
          <w:kern w:val="0"/>
          <w:sz w:val="24"/>
          <w:szCs w:val="24"/>
          <w:lang w:eastAsia="zh-CN"/>
        </w:rPr>
        <w:t>应聘方式</w:t>
      </w:r>
      <w:r>
        <w:rPr>
          <w:rFonts w:hint="eastAsia" w:ascii="微软雅黑" w:hAnsi="微软雅黑" w:eastAsia="微软雅黑" w:cs="微软雅黑"/>
          <w:b w:val="0"/>
          <w:bCs w:val="0"/>
          <w:color w:val="000000"/>
          <w:kern w:val="0"/>
          <w:sz w:val="24"/>
          <w:szCs w:val="24"/>
          <w:lang w:eastAsia="zh-CN"/>
        </w:rPr>
        <w:t>（二选一）</w:t>
      </w:r>
      <w:r>
        <w:rPr>
          <w:rFonts w:hint="eastAsia" w:ascii="微软雅黑" w:hAnsi="微软雅黑" w:eastAsia="微软雅黑" w:cs="微软雅黑"/>
          <w:b/>
          <w:bCs/>
          <w:color w:val="000000"/>
          <w:kern w:val="0"/>
          <w:sz w:val="24"/>
          <w:szCs w:val="24"/>
          <w:lang w:eastAsia="zh-CN"/>
        </w:rPr>
        <w:t>：</w: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0" w:firstLineChars="0"/>
        <w:jc w:val="left"/>
        <w:textAlignment w:val="auto"/>
        <w:outlineLvl w:val="9"/>
        <w:rPr>
          <w:rFonts w:hint="eastAsia" w:ascii="宋体" w:hAnsi="宋体" w:eastAsia="宋体" w:cs="宋体"/>
          <w:b w:val="0"/>
          <w:bCs w:val="0"/>
          <w:color w:val="000000"/>
          <w:kern w:val="0"/>
          <w:sz w:val="20"/>
          <w:szCs w:val="20"/>
          <w:lang w:eastAsia="zh-CN"/>
        </w:rPr>
      </w:pPr>
      <w:r>
        <w:rPr>
          <w:rFonts w:hint="eastAsia" w:ascii="宋体" w:hAnsi="宋体" w:cs="宋体"/>
          <w:b/>
          <w:bCs/>
          <w:color w:val="000000"/>
          <w:kern w:val="0"/>
          <w:sz w:val="20"/>
          <w:szCs w:val="20"/>
          <w:lang w:eastAsia="zh-CN"/>
        </w:rPr>
        <w:t>①</w:t>
      </w:r>
      <w:r>
        <w:rPr>
          <w:rFonts w:hint="eastAsia" w:ascii="宋体" w:hAnsi="宋体" w:cs="宋体"/>
          <w:b/>
          <w:bCs/>
          <w:color w:val="000000"/>
          <w:kern w:val="0"/>
          <w:sz w:val="20"/>
          <w:szCs w:val="20"/>
          <w:lang w:val="en-US" w:eastAsia="zh-CN"/>
        </w:rPr>
        <w:t xml:space="preserve"> </w:t>
      </w:r>
      <w:r>
        <w:rPr>
          <w:rFonts w:hint="eastAsia" w:ascii="宋体" w:hAnsi="宋体" w:eastAsia="宋体" w:cs="宋体"/>
          <w:b/>
          <w:bCs/>
          <w:color w:val="000000"/>
          <w:kern w:val="0"/>
          <w:sz w:val="20"/>
          <w:szCs w:val="20"/>
          <w:lang w:eastAsia="zh-CN"/>
        </w:rPr>
        <w:t>现场</w:t>
      </w:r>
      <w:r>
        <w:rPr>
          <w:rFonts w:hint="eastAsia" w:ascii="宋体" w:hAnsi="宋体" w:cs="宋体"/>
          <w:b/>
          <w:bCs/>
          <w:color w:val="000000"/>
          <w:kern w:val="0"/>
          <w:sz w:val="20"/>
          <w:szCs w:val="20"/>
          <w:lang w:eastAsia="zh-CN"/>
        </w:rPr>
        <w:t>投递</w:t>
      </w:r>
      <w:r>
        <w:rPr>
          <w:rFonts w:hint="eastAsia" w:ascii="宋体" w:hAnsi="宋体" w:eastAsia="宋体" w:cs="宋体"/>
          <w:b/>
          <w:bCs/>
          <w:color w:val="000000"/>
          <w:kern w:val="0"/>
          <w:sz w:val="20"/>
          <w:szCs w:val="20"/>
          <w:lang w:eastAsia="zh-CN"/>
        </w:rPr>
        <w:t>：</w:t>
      </w:r>
      <w:r>
        <w:rPr>
          <w:rFonts w:hint="eastAsia" w:ascii="宋体" w:hAnsi="宋体" w:cs="宋体"/>
          <w:b w:val="0"/>
          <w:bCs w:val="0"/>
          <w:color w:val="000000"/>
          <w:kern w:val="0"/>
          <w:sz w:val="20"/>
          <w:szCs w:val="20"/>
          <w:lang w:eastAsia="zh-CN"/>
        </w:rPr>
        <w:t>参与中兴通讯校园双选会、宣讲会，现场投递简历面试；</w: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0" w:firstLineChars="0"/>
        <w:jc w:val="left"/>
        <w:textAlignment w:val="auto"/>
        <w:outlineLvl w:val="9"/>
        <w:rPr>
          <w:rFonts w:hint="eastAsia" w:ascii="华文仿宋" w:eastAsia="华文仿宋" w:cs="华文仿宋"/>
          <w:b/>
          <w:bCs/>
          <w:color w:val="000000"/>
          <w:kern w:val="0"/>
          <w:sz w:val="24"/>
          <w:lang w:eastAsia="zh-CN"/>
        </w:rPr>
      </w:pPr>
      <w:r>
        <w:rPr>
          <w:rFonts w:hint="eastAsia" w:ascii="宋体" w:hAnsi="宋体" w:cs="宋体"/>
          <w:b/>
          <w:bCs/>
          <w:color w:val="000000"/>
          <w:kern w:val="0"/>
          <w:sz w:val="20"/>
          <w:szCs w:val="20"/>
          <w:lang w:eastAsia="zh-CN"/>
        </w:rPr>
        <w:t>②</w:t>
      </w:r>
      <w:r>
        <w:rPr>
          <w:rFonts w:hint="eastAsia" w:ascii="宋体" w:hAnsi="宋体" w:cs="宋体"/>
          <w:b/>
          <w:bCs/>
          <w:color w:val="000000"/>
          <w:kern w:val="0"/>
          <w:sz w:val="20"/>
          <w:szCs w:val="20"/>
          <w:lang w:val="en-US" w:eastAsia="zh-CN"/>
        </w:rPr>
        <w:t xml:space="preserve"> 邮件投递：</w:t>
      </w:r>
      <w:r>
        <w:rPr>
          <w:rFonts w:hint="eastAsia" w:ascii="宋体" w:hAnsi="宋体" w:eastAsia="宋体" w:cs="宋体"/>
          <w:b w:val="0"/>
          <w:bCs w:val="0"/>
          <w:color w:val="000000"/>
          <w:kern w:val="0"/>
          <w:sz w:val="20"/>
          <w:szCs w:val="20"/>
          <w:lang w:eastAsia="zh-CN"/>
        </w:rPr>
        <w:fldChar w:fldCharType="begin"/>
      </w:r>
      <w:r>
        <w:rPr>
          <w:rFonts w:hint="eastAsia" w:ascii="宋体" w:hAnsi="宋体" w:eastAsia="宋体" w:cs="宋体"/>
          <w:b w:val="0"/>
          <w:bCs w:val="0"/>
          <w:color w:val="000000"/>
          <w:kern w:val="0"/>
          <w:sz w:val="20"/>
          <w:szCs w:val="20"/>
          <w:lang w:eastAsia="zh-CN"/>
        </w:rPr>
        <w:instrText xml:space="preserve"> HYPERLINK "mailto:请将简历发至邮箱lihan@zte.com.cn，主题命名为\“姓名+工作年限+应聘岗位\”。" </w:instrText>
      </w:r>
      <w:r>
        <w:rPr>
          <w:rFonts w:hint="eastAsia" w:ascii="宋体" w:hAnsi="宋体" w:eastAsia="宋体" w:cs="宋体"/>
          <w:b w:val="0"/>
          <w:bCs w:val="0"/>
          <w:color w:val="000000"/>
          <w:kern w:val="0"/>
          <w:sz w:val="20"/>
          <w:szCs w:val="20"/>
          <w:lang w:eastAsia="zh-CN"/>
        </w:rPr>
        <w:fldChar w:fldCharType="separate"/>
      </w:r>
      <w:r>
        <w:rPr>
          <w:rFonts w:hint="eastAsia" w:ascii="宋体" w:hAnsi="宋体" w:eastAsia="宋体" w:cs="宋体"/>
          <w:b w:val="0"/>
          <w:bCs w:val="0"/>
          <w:color w:val="000000"/>
          <w:kern w:val="0"/>
          <w:sz w:val="20"/>
          <w:szCs w:val="20"/>
          <w:lang w:eastAsia="zh-CN"/>
        </w:rPr>
        <w:t>请将</w:t>
      </w:r>
      <w:r>
        <w:rPr>
          <w:rFonts w:hint="eastAsia" w:ascii="宋体" w:hAnsi="宋体" w:cs="宋体"/>
          <w:b w:val="0"/>
          <w:bCs w:val="0"/>
          <w:color w:val="000000"/>
          <w:kern w:val="0"/>
          <w:sz w:val="20"/>
          <w:szCs w:val="20"/>
          <w:lang w:eastAsia="zh-CN"/>
        </w:rPr>
        <w:t>个人</w:t>
      </w:r>
      <w:r>
        <w:rPr>
          <w:rFonts w:hint="eastAsia" w:ascii="宋体" w:hAnsi="宋体" w:eastAsia="宋体" w:cs="宋体"/>
          <w:b w:val="0"/>
          <w:bCs w:val="0"/>
          <w:color w:val="000000"/>
          <w:kern w:val="0"/>
          <w:sz w:val="20"/>
          <w:szCs w:val="20"/>
          <w:lang w:eastAsia="zh-CN"/>
        </w:rPr>
        <w:t>简历</w:t>
      </w:r>
      <w:r>
        <w:rPr>
          <w:rFonts w:hint="eastAsia" w:ascii="宋体" w:hAnsi="宋体" w:cs="宋体"/>
          <w:b w:val="0"/>
          <w:bCs w:val="0"/>
          <w:color w:val="000000"/>
          <w:kern w:val="0"/>
          <w:sz w:val="20"/>
          <w:szCs w:val="20"/>
          <w:lang w:eastAsia="zh-CN"/>
        </w:rPr>
        <w:t>发</w:t>
      </w:r>
      <w:r>
        <w:rPr>
          <w:rFonts w:hint="eastAsia" w:ascii="宋体" w:hAnsi="宋体" w:eastAsia="宋体" w:cs="宋体"/>
          <w:b w:val="0"/>
          <w:bCs w:val="0"/>
          <w:color w:val="000000"/>
          <w:kern w:val="0"/>
          <w:sz w:val="20"/>
          <w:szCs w:val="20"/>
          <w:lang w:eastAsia="zh-CN"/>
        </w:rPr>
        <w:t>至邮箱</w:t>
      </w:r>
      <w:r>
        <w:rPr>
          <w:rFonts w:hint="eastAsia" w:ascii="宋体" w:hAnsi="宋体" w:cs="宋体"/>
          <w:b w:val="0"/>
          <w:bCs w:val="0"/>
          <w:color w:val="000000"/>
          <w:kern w:val="0"/>
          <w:sz w:val="20"/>
          <w:szCs w:val="20"/>
          <w:lang w:val="en-US" w:eastAsia="zh-CN"/>
        </w:rPr>
        <w:t xml:space="preserve"> </w:t>
      </w:r>
      <w:r>
        <w:rPr>
          <w:rFonts w:hint="eastAsia" w:ascii="宋体" w:hAnsi="宋体" w:cs="宋体"/>
          <w:b/>
          <w:bCs/>
          <w:color w:val="000000"/>
          <w:kern w:val="0"/>
          <w:sz w:val="20"/>
          <w:szCs w:val="20"/>
          <w:lang w:val="en-US" w:eastAsia="zh-CN"/>
        </w:rPr>
        <w:t>10200814</w:t>
      </w:r>
      <w:r>
        <w:rPr>
          <w:rFonts w:hint="eastAsia" w:hAnsi="黑体" w:eastAsia="黑体" w:cs="黑体" w:asciiTheme="majorAscii"/>
          <w:b/>
          <w:bCs/>
          <w:color w:val="000000"/>
          <w:kern w:val="0"/>
          <w:sz w:val="20"/>
          <w:szCs w:val="20"/>
          <w:lang w:val="en-US" w:eastAsia="zh-CN"/>
        </w:rPr>
        <w:t>@zte.com.cn</w:t>
      </w:r>
      <w:r>
        <w:rPr>
          <w:rFonts w:hint="eastAsia" w:ascii="宋体" w:hAnsi="宋体" w:cs="宋体"/>
          <w:b w:val="0"/>
          <w:bCs w:val="0"/>
          <w:color w:val="000000"/>
          <w:kern w:val="0"/>
          <w:sz w:val="20"/>
          <w:szCs w:val="20"/>
          <w:lang w:val="en-US" w:eastAsia="zh-CN"/>
        </w:rPr>
        <w:t xml:space="preserve"> ，</w:t>
      </w:r>
      <w:r>
        <w:rPr>
          <w:rFonts w:hint="eastAsia" w:ascii="宋体" w:hAnsi="宋体" w:eastAsia="宋体" w:cs="宋体"/>
          <w:b w:val="0"/>
          <w:bCs w:val="0"/>
          <w:color w:val="000000"/>
          <w:kern w:val="0"/>
          <w:sz w:val="20"/>
          <w:szCs w:val="20"/>
          <w:lang w:val="en-US" w:eastAsia="zh-CN"/>
        </w:rPr>
        <w:t>主题命名为“</w:t>
      </w:r>
      <w:r>
        <w:rPr>
          <w:rFonts w:hint="eastAsia" w:ascii="宋体" w:hAnsi="宋体" w:cs="宋体"/>
          <w:b w:val="0"/>
          <w:bCs w:val="0"/>
          <w:color w:val="000000"/>
          <w:kern w:val="0"/>
          <w:sz w:val="20"/>
          <w:szCs w:val="20"/>
          <w:lang w:val="en-US" w:eastAsia="zh-CN"/>
        </w:rPr>
        <w:t>学校名称+专业</w:t>
      </w:r>
      <w:r>
        <w:rPr>
          <w:rFonts w:hint="eastAsia" w:ascii="宋体" w:hAnsi="宋体" w:eastAsia="宋体" w:cs="宋体"/>
          <w:b w:val="0"/>
          <w:bCs w:val="0"/>
          <w:color w:val="000000"/>
          <w:kern w:val="0"/>
          <w:sz w:val="20"/>
          <w:szCs w:val="20"/>
          <w:lang w:val="en-US" w:eastAsia="zh-CN"/>
        </w:rPr>
        <w:t>+姓名”</w:t>
      </w:r>
      <w:r>
        <w:rPr>
          <w:rFonts w:hint="eastAsia" w:ascii="宋体" w:hAnsi="宋体" w:cs="宋体"/>
          <w:b w:val="0"/>
          <w:bCs w:val="0"/>
          <w:color w:val="000000"/>
          <w:kern w:val="0"/>
          <w:sz w:val="20"/>
          <w:szCs w:val="20"/>
          <w:lang w:val="en-US" w:eastAsia="zh-CN"/>
        </w:rPr>
        <w:t>。</w:t>
      </w:r>
      <w:r>
        <w:rPr>
          <w:rFonts w:hint="eastAsia" w:ascii="宋体" w:hAnsi="宋体" w:eastAsia="宋体" w:cs="宋体"/>
          <w:b w:val="0"/>
          <w:bCs w:val="0"/>
          <w:color w:val="000000"/>
          <w:kern w:val="0"/>
          <w:sz w:val="20"/>
          <w:szCs w:val="20"/>
          <w:lang w:eastAsia="zh-CN"/>
        </w:rPr>
        <w:fldChar w:fldCharType="end"/>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0" w:firstLineChars="0"/>
        <w:jc w:val="left"/>
        <w:textAlignment w:val="auto"/>
        <w:outlineLvl w:val="9"/>
        <w:rPr>
          <w:rFonts w:hint="eastAsia" w:ascii="微软雅黑" w:hAnsi="微软雅黑" w:eastAsia="微软雅黑" w:cs="微软雅黑"/>
          <w:b w:val="0"/>
          <w:bCs w:val="0"/>
          <w:color w:val="FF0000"/>
          <w:kern w:val="0"/>
          <w:sz w:val="24"/>
          <w:szCs w:val="24"/>
          <w:lang w:eastAsia="zh-CN"/>
        </w:rPr>
      </w:pPr>
      <w:r>
        <w:rPr>
          <w:rFonts w:hint="eastAsia" w:ascii="微软雅黑" w:hAnsi="微软雅黑" w:eastAsia="微软雅黑" w:cs="微软雅黑"/>
          <w:b/>
          <w:bCs/>
          <w:color w:val="000000"/>
          <w:kern w:val="0"/>
          <w:sz w:val="24"/>
          <w:szCs w:val="24"/>
          <w:lang w:eastAsia="zh-CN"/>
        </w:rPr>
        <w:t>联系人：</w:t>
      </w:r>
      <w:r>
        <w:rPr>
          <w:rFonts w:hint="eastAsia" w:ascii="宋体" w:hAnsi="宋体" w:cs="宋体"/>
          <w:b w:val="0"/>
          <w:bCs w:val="0"/>
          <w:color w:val="000000"/>
          <w:kern w:val="0"/>
          <w:sz w:val="20"/>
          <w:szCs w:val="20"/>
          <w:lang w:eastAsia="zh-CN"/>
        </w:rPr>
        <w:t>蒋经理</w:t>
      </w:r>
      <w:r>
        <w:rPr>
          <w:rFonts w:hint="eastAsia" w:ascii="宋体" w:hAnsi="宋体" w:eastAsia="宋体" w:cs="宋体"/>
          <w:b w:val="0"/>
          <w:bCs w:val="0"/>
          <w:color w:val="000000"/>
          <w:kern w:val="0"/>
          <w:sz w:val="20"/>
          <w:szCs w:val="20"/>
        </w:rPr>
        <w:t xml:space="preserve"> 0</w:t>
      </w:r>
      <w:r>
        <w:rPr>
          <w:rFonts w:hint="eastAsia" w:ascii="宋体" w:hAnsi="宋体" w:eastAsia="宋体" w:cs="宋体"/>
          <w:b w:val="0"/>
          <w:bCs w:val="0"/>
          <w:color w:val="000000"/>
          <w:kern w:val="0"/>
          <w:sz w:val="20"/>
          <w:szCs w:val="20"/>
          <w:lang w:val="en-US" w:eastAsia="zh-CN"/>
        </w:rPr>
        <w:t>2</w:t>
      </w:r>
      <w:r>
        <w:rPr>
          <w:rFonts w:hint="eastAsia" w:ascii="宋体" w:hAnsi="宋体" w:cs="宋体"/>
          <w:b w:val="0"/>
          <w:bCs w:val="0"/>
          <w:color w:val="000000"/>
          <w:kern w:val="0"/>
          <w:sz w:val="20"/>
          <w:szCs w:val="20"/>
          <w:lang w:val="en-US" w:eastAsia="zh-CN"/>
        </w:rPr>
        <w:t>5</w:t>
      </w:r>
      <w:r>
        <w:rPr>
          <w:rFonts w:hint="eastAsia" w:ascii="宋体" w:hAnsi="宋体" w:eastAsia="宋体" w:cs="宋体"/>
          <w:b w:val="0"/>
          <w:bCs w:val="0"/>
          <w:color w:val="000000"/>
          <w:kern w:val="0"/>
          <w:sz w:val="20"/>
          <w:szCs w:val="20"/>
        </w:rPr>
        <w:t>-</w:t>
      </w:r>
      <w:r>
        <w:rPr>
          <w:rFonts w:hint="eastAsia" w:ascii="宋体" w:hAnsi="宋体" w:eastAsia="宋体" w:cs="宋体"/>
          <w:b w:val="0"/>
          <w:bCs w:val="0"/>
          <w:color w:val="000000"/>
          <w:kern w:val="0"/>
          <w:sz w:val="20"/>
          <w:szCs w:val="20"/>
          <w:lang w:val="en-US" w:eastAsia="zh-CN"/>
        </w:rPr>
        <w:t xml:space="preserve">81050224 / </w:t>
      </w:r>
      <w:r>
        <w:rPr>
          <w:rFonts w:hint="eastAsia" w:ascii="宋体" w:hAnsi="宋体" w:cs="宋体"/>
          <w:b w:val="0"/>
          <w:bCs w:val="0"/>
          <w:color w:val="000000"/>
          <w:kern w:val="0"/>
          <w:sz w:val="20"/>
          <w:szCs w:val="20"/>
          <w:lang w:val="en-US" w:eastAsia="zh-CN"/>
        </w:rPr>
        <w:t>18129972566</w:t>
      </w:r>
      <w:r>
        <w:rPr>
          <w:rFonts w:hint="eastAsia" w:ascii="华文仿宋" w:eastAsia="华文仿宋" w:cs="华文仿宋"/>
          <w:b w:val="0"/>
          <w:bCs w:val="0"/>
          <w:color w:val="000000"/>
          <w:kern w:val="0"/>
          <w:sz w:val="24"/>
          <w:lang w:val="en-US" w:eastAsia="zh-CN"/>
        </w:rPr>
        <w:t xml:space="preserve"> </w:t>
      </w:r>
      <w:r>
        <w:rPr>
          <w:rFonts w:hint="eastAsia" w:ascii="华文仿宋" w:eastAsia="华文仿宋" w:cs="华文仿宋"/>
          <w:b w:val="0"/>
          <w:bCs w:val="0"/>
          <w:color w:val="000000"/>
          <w:kern w:val="0"/>
          <w:sz w:val="24"/>
        </w:rPr>
        <w:t>；</w:t>
      </w:r>
    </w:p>
    <w:p>
      <w:pPr>
        <w:keepNext w:val="0"/>
        <w:keepLines w:val="0"/>
        <w:pageBreakBefore w:val="0"/>
        <w:widowControl w:val="0"/>
        <w:kinsoku/>
        <w:wordWrap/>
        <w:overflowPunct/>
        <w:topLinePunct w:val="0"/>
        <w:autoSpaceDE w:val="0"/>
        <w:autoSpaceDN w:val="0"/>
        <w:bidi w:val="0"/>
        <w:adjustRightInd w:val="0"/>
        <w:snapToGrid/>
        <w:spacing w:line="360" w:lineRule="auto"/>
        <w:ind w:left="0" w:leftChars="0" w:right="0" w:rightChars="0" w:firstLine="0" w:firstLineChars="0"/>
        <w:jc w:val="left"/>
        <w:textAlignment w:val="auto"/>
        <w:outlineLvl w:val="9"/>
        <w:rPr>
          <w:rFonts w:hint="eastAsia" w:ascii="Times New Roman" w:hAnsi="Times New Roman" w:eastAsia="宋体" w:cs="Times New Roman"/>
          <w:kern w:val="2"/>
          <w:sz w:val="21"/>
          <w:szCs w:val="24"/>
          <w:lang w:val="en-US" w:eastAsia="zh-CN" w:bidi="ar-SA"/>
        </w:rPr>
      </w:pPr>
      <w:r>
        <w:rPr>
          <w:rFonts w:hint="eastAsia" w:ascii="微软雅黑" w:hAnsi="微软雅黑" w:eastAsia="微软雅黑" w:cs="微软雅黑"/>
          <w:b/>
          <w:bCs/>
          <w:color w:val="000000"/>
          <w:kern w:val="0"/>
          <w:sz w:val="24"/>
          <w:szCs w:val="24"/>
          <w:lang w:eastAsia="zh-CN"/>
        </w:rPr>
        <w:t>公司图锦</w:t>
      </w:r>
    </w:p>
    <w:p>
      <w:pPr>
        <w:keepNext w:val="0"/>
        <w:keepLines w:val="0"/>
        <w:pageBreakBefore w:val="0"/>
        <w:tabs>
          <w:tab w:val="left" w:pos="8816"/>
        </w:tabs>
        <w:kinsoku/>
        <w:wordWrap/>
        <w:overflowPunct/>
        <w:topLinePunct w:val="0"/>
        <w:bidi w:val="0"/>
        <w:snapToGrid/>
        <w:spacing w:line="360" w:lineRule="auto"/>
        <w:jc w:val="left"/>
        <w:rPr>
          <w:rFonts w:hint="eastAsia" w:ascii="Times New Roman" w:hAnsi="Times New Roman" w:eastAsia="宋体" w:cs="Times New Roman"/>
          <w:kern w:val="2"/>
          <w:sz w:val="21"/>
          <w:szCs w:val="24"/>
          <w:lang w:val="en-US" w:eastAsia="zh-CN" w:bidi="ar-SA"/>
        </w:rPr>
      </w:pPr>
      <w:r>
        <w:drawing>
          <wp:anchor distT="0" distB="0" distL="114300" distR="114300" simplePos="0" relativeHeight="251661312" behindDoc="1" locked="0" layoutInCell="1" allowOverlap="1">
            <wp:simplePos x="0" y="0"/>
            <wp:positionH relativeFrom="column">
              <wp:posOffset>66675</wp:posOffset>
            </wp:positionH>
            <wp:positionV relativeFrom="paragraph">
              <wp:posOffset>2552700</wp:posOffset>
            </wp:positionV>
            <wp:extent cx="6385560" cy="3648710"/>
            <wp:effectExtent l="0" t="0" r="15240" b="8890"/>
            <wp:wrapTight wrapText="bothSides">
              <wp:wrapPolygon>
                <wp:start x="0" y="0"/>
                <wp:lineTo x="0" y="21540"/>
                <wp:lineTo x="21523" y="21540"/>
                <wp:lineTo x="21523" y="0"/>
                <wp:lineTo x="0" y="0"/>
              </wp:wrapPolygon>
            </wp:wrapTight>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6"/>
                    <a:stretch>
                      <a:fillRect/>
                    </a:stretch>
                  </pic:blipFill>
                  <pic:spPr>
                    <a:xfrm>
                      <a:off x="0" y="0"/>
                      <a:ext cx="6385560" cy="3648710"/>
                    </a:xfrm>
                    <a:prstGeom prst="rect">
                      <a:avLst/>
                    </a:prstGeom>
                    <a:noFill/>
                    <a:ln w="9525">
                      <a:noFill/>
                    </a:ln>
                  </pic:spPr>
                </pic:pic>
              </a:graphicData>
            </a:graphic>
          </wp:anchor>
        </w:drawing>
      </w:r>
      <w:r>
        <w:drawing>
          <wp:inline distT="0" distB="0" distL="114300" distR="114300">
            <wp:extent cx="3239770" cy="2456815"/>
            <wp:effectExtent l="0" t="0" r="17780" b="635"/>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7"/>
                    <a:stretch>
                      <a:fillRect/>
                    </a:stretch>
                  </pic:blipFill>
                  <pic:spPr>
                    <a:xfrm>
                      <a:off x="0" y="0"/>
                      <a:ext cx="3239770" cy="2456815"/>
                    </a:xfrm>
                    <a:prstGeom prst="rect">
                      <a:avLst/>
                    </a:prstGeom>
                    <a:noFill/>
                    <a:ln w="9525">
                      <a:noFill/>
                    </a:ln>
                  </pic:spPr>
                </pic:pic>
              </a:graphicData>
            </a:graphic>
          </wp:inline>
        </w:drawing>
      </w:r>
      <w:r>
        <w:drawing>
          <wp:anchor distT="0" distB="0" distL="114300" distR="114300" simplePos="0" relativeHeight="251659264" behindDoc="1" locked="0" layoutInCell="1" allowOverlap="1">
            <wp:simplePos x="0" y="0"/>
            <wp:positionH relativeFrom="column">
              <wp:posOffset>95250</wp:posOffset>
            </wp:positionH>
            <wp:positionV relativeFrom="paragraph">
              <wp:posOffset>14605</wp:posOffset>
            </wp:positionV>
            <wp:extent cx="3006090" cy="2516505"/>
            <wp:effectExtent l="0" t="0" r="0" b="17145"/>
            <wp:wrapTight wrapText="bothSides">
              <wp:wrapPolygon>
                <wp:start x="0" y="0"/>
                <wp:lineTo x="0" y="21420"/>
                <wp:lineTo x="21490" y="21420"/>
                <wp:lineTo x="21490" y="0"/>
                <wp:lineTo x="0" y="0"/>
              </wp:wrapPolygon>
            </wp:wrapTight>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8"/>
                    <a:stretch>
                      <a:fillRect/>
                    </a:stretch>
                  </pic:blipFill>
                  <pic:spPr>
                    <a:xfrm>
                      <a:off x="0" y="0"/>
                      <a:ext cx="3006090" cy="2516505"/>
                    </a:xfrm>
                    <a:prstGeom prst="rect">
                      <a:avLst/>
                    </a:prstGeom>
                    <a:noFill/>
                    <a:ln w="9525">
                      <a:noFill/>
                    </a:ln>
                  </pic:spPr>
                </pic:pic>
              </a:graphicData>
            </a:graphic>
          </wp:anchor>
        </w:drawing>
      </w:r>
    </w:p>
    <w:p>
      <w:pPr>
        <w:keepNext w:val="0"/>
        <w:keepLines w:val="0"/>
        <w:pageBreakBefore w:val="0"/>
        <w:tabs>
          <w:tab w:val="left" w:pos="8816"/>
        </w:tabs>
        <w:kinsoku/>
        <w:wordWrap/>
        <w:overflowPunct/>
        <w:topLinePunct w:val="0"/>
        <w:bidi w:val="0"/>
        <w:snapToGrid/>
        <w:spacing w:line="360" w:lineRule="auto"/>
        <w:jc w:val="left"/>
        <w:rPr>
          <w:rFonts w:hint="eastAsia" w:ascii="Times New Roman" w:hAnsi="Times New Roman" w:eastAsia="宋体" w:cs="Times New Roman"/>
          <w:kern w:val="2"/>
          <w:sz w:val="21"/>
          <w:szCs w:val="24"/>
          <w:lang w:val="en-US" w:eastAsia="zh-CN" w:bidi="ar-SA"/>
        </w:rPr>
      </w:pPr>
      <w:r>
        <w:drawing>
          <wp:anchor distT="0" distB="0" distL="114300" distR="114300" simplePos="0" relativeHeight="251660288" behindDoc="1" locked="0" layoutInCell="1" allowOverlap="1">
            <wp:simplePos x="0" y="0"/>
            <wp:positionH relativeFrom="column">
              <wp:posOffset>95250</wp:posOffset>
            </wp:positionH>
            <wp:positionV relativeFrom="paragraph">
              <wp:posOffset>55880</wp:posOffset>
            </wp:positionV>
            <wp:extent cx="6318250" cy="2739390"/>
            <wp:effectExtent l="0" t="0" r="6350" b="0"/>
            <wp:wrapTight wrapText="bothSides">
              <wp:wrapPolygon>
                <wp:start x="0" y="0"/>
                <wp:lineTo x="0" y="21480"/>
                <wp:lineTo x="21557" y="21480"/>
                <wp:lineTo x="21557" y="0"/>
                <wp:lineTo x="0" y="0"/>
              </wp:wrapPolygon>
            </wp:wrapTight>
            <wp:docPr id="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pic:cNvPicPr>
                      <a:picLocks noChangeAspect="1"/>
                    </pic:cNvPicPr>
                  </pic:nvPicPr>
                  <pic:blipFill>
                    <a:blip r:embed="rId9"/>
                    <a:stretch>
                      <a:fillRect/>
                    </a:stretch>
                  </pic:blipFill>
                  <pic:spPr>
                    <a:xfrm>
                      <a:off x="0" y="0"/>
                      <a:ext cx="6318250" cy="2739390"/>
                    </a:xfrm>
                    <a:prstGeom prst="rect">
                      <a:avLst/>
                    </a:prstGeom>
                    <a:noFill/>
                    <a:ln w="9525">
                      <a:noFill/>
                    </a:ln>
                  </pic:spPr>
                </pic:pic>
              </a:graphicData>
            </a:graphic>
          </wp:anchor>
        </w:drawing>
      </w:r>
      <w:r>
        <w:rPr>
          <w:rFonts w:hint="eastAsia" w:cs="Times New Roman"/>
          <w:kern w:val="2"/>
          <w:sz w:val="21"/>
          <w:szCs w:val="24"/>
          <w:lang w:val="en-US" w:eastAsia="zh-CN" w:bidi="ar-SA"/>
        </w:rPr>
        <w:t xml:space="preserve"> </w:t>
      </w:r>
    </w:p>
    <w:sectPr>
      <w:headerReference r:id="rId3" w:type="default"/>
      <w:footerReference r:id="rId4" w:type="default"/>
      <w:pgSz w:w="11906" w:h="16838"/>
      <w:pgMar w:top="680" w:right="680" w:bottom="-119" w:left="850" w:header="851" w:footer="55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华文仿宋">
    <w:altName w:val="仿宋"/>
    <w:panose1 w:val="02010600040101010101"/>
    <w:charset w:val="86"/>
    <w:family w:val="auto"/>
    <w:pitch w:val="default"/>
    <w:sig w:usb0="00000000" w:usb1="00000000" w:usb2="00000010" w:usb3="00000000" w:csb0="0004009F"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Cambria">
    <w:panose1 w:val="02040503050406030204"/>
    <w:charset w:val="00"/>
    <w:family w:val="auto"/>
    <w:pitch w:val="default"/>
    <w:sig w:usb0="E00002FF" w:usb1="400004FF" w:usb2="00000000" w:usb3="00000000" w:csb0="2000019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9541" w:yAlign="top"/>
      <w:rPr>
        <w:rStyle w:val="8"/>
      </w:rPr>
    </w:pPr>
    <w:r>
      <w:rPr>
        <w:rStyle w:val="8"/>
        <w:rFonts w:hint="eastAsia"/>
      </w:rPr>
      <w:t>第</w:t>
    </w:r>
    <w:r>
      <w:rPr>
        <w:rStyle w:val="8"/>
      </w:rPr>
      <w:fldChar w:fldCharType="begin"/>
    </w:r>
    <w:r>
      <w:rPr>
        <w:rStyle w:val="8"/>
      </w:rPr>
      <w:instrText xml:space="preserve">PAGE  </w:instrText>
    </w:r>
    <w:r>
      <w:rPr>
        <w:rStyle w:val="8"/>
      </w:rPr>
      <w:fldChar w:fldCharType="separate"/>
    </w:r>
    <w:r>
      <w:rPr>
        <w:rStyle w:val="8"/>
      </w:rPr>
      <w:t>1</w:t>
    </w:r>
    <w:r>
      <w:rPr>
        <w:rStyle w:val="8"/>
      </w:rPr>
      <w:fldChar w:fldCharType="end"/>
    </w:r>
    <w:r>
      <w:rPr>
        <w:rStyle w:val="8"/>
        <w:rFonts w:hint="eastAsia"/>
      </w:rPr>
      <w:t>页</w:t>
    </w:r>
  </w:p>
  <w:p>
    <w:pPr>
      <w:pStyle w:val="3"/>
      <w:ind w:right="360"/>
      <w:jc w:val="both"/>
      <w:rPr>
        <w:rFonts w:ascii="宋体" w:hAnsi="宋体"/>
      </w:rPr>
    </w:pPr>
    <w:r>
      <w:t>&lt;</w:t>
    </w:r>
    <w:r>
      <w:rPr>
        <w:rFonts w:hint="eastAsia" w:hAnsi="宋体"/>
      </w:rPr>
      <w:t>以上</w:t>
    </w:r>
    <w:r>
      <w:rPr>
        <w:rFonts w:hAnsi="宋体"/>
      </w:rPr>
      <w:t>所有信息均为中兴通讯股份有限公司</w:t>
    </w:r>
    <w:r>
      <w:rPr>
        <w:rFonts w:hint="eastAsia" w:hAnsi="宋体"/>
      </w:rPr>
      <w:t>所有</w:t>
    </w:r>
    <w:r>
      <w:rPr>
        <w:rFonts w:hAnsi="宋体"/>
      </w:rPr>
      <w:t>，不</w:t>
    </w:r>
    <w:r>
      <w:rPr>
        <w:rFonts w:hint="eastAsia" w:hAnsi="宋体"/>
      </w:rPr>
      <w:t>得</w:t>
    </w:r>
    <w:r>
      <w:rPr>
        <w:rFonts w:hAnsi="宋体"/>
      </w:rPr>
      <w:t>外传</w:t>
    </w:r>
    <w:r>
      <w:t>&gt;</w:t>
    </w:r>
    <w:r>
      <w:rPr>
        <w:rFonts w:hint="eastAsia" w:ascii="宋体" w:hAnsi="宋体"/>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rPr>
        <w:rFonts w:eastAsia="华文仿宋"/>
        <w:szCs w:val="21"/>
      </w:rPr>
    </w:pPr>
    <w:r>
      <w:drawing>
        <wp:anchor distT="0" distB="0" distL="0" distR="0" simplePos="0" relativeHeight="251659264" behindDoc="0" locked="0" layoutInCell="1" allowOverlap="1">
          <wp:simplePos x="0" y="0"/>
          <wp:positionH relativeFrom="column">
            <wp:posOffset>-190500</wp:posOffset>
          </wp:positionH>
          <wp:positionV relativeFrom="paragraph">
            <wp:posOffset>-190500</wp:posOffset>
          </wp:positionV>
          <wp:extent cx="1141730" cy="294640"/>
          <wp:effectExtent l="0" t="0" r="1270" b="10160"/>
          <wp:wrapSquare wrapText="bothSides"/>
          <wp:docPr id="1" name="图片 4" descr="未标题-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未标题-9-01"/>
                  <pic:cNvPicPr>
                    <a:picLocks noChangeAspect="1" noChangeArrowheads="1"/>
                  </pic:cNvPicPr>
                </pic:nvPicPr>
                <pic:blipFill>
                  <a:blip r:embed="rId1"/>
                  <a:srcRect/>
                  <a:stretch>
                    <a:fillRect/>
                  </a:stretch>
                </pic:blipFill>
                <pic:spPr>
                  <a:xfrm>
                    <a:off x="0" y="0"/>
                    <a:ext cx="1141730" cy="294640"/>
                  </a:xfrm>
                  <a:prstGeom prst="rect">
                    <a:avLst/>
                  </a:prstGeom>
                  <a:noFill/>
                  <a:ln w="9525">
                    <a:noFill/>
                    <a:miter lim="800000"/>
                    <a:headEnd/>
                    <a:tailEnd/>
                  </a:ln>
                </pic:spPr>
              </pic:pic>
            </a:graphicData>
          </a:graphic>
        </wp:anchor>
      </w:drawing>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FD3FA5"/>
    <w:multiLevelType w:val="singleLevel"/>
    <w:tmpl w:val="16FD3FA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71623"/>
    <w:rsid w:val="00092939"/>
    <w:rsid w:val="000D4464"/>
    <w:rsid w:val="000F60DE"/>
    <w:rsid w:val="00126145"/>
    <w:rsid w:val="00131154"/>
    <w:rsid w:val="00141D87"/>
    <w:rsid w:val="0017492B"/>
    <w:rsid w:val="001767E6"/>
    <w:rsid w:val="00181E54"/>
    <w:rsid w:val="00190A8D"/>
    <w:rsid w:val="00196645"/>
    <w:rsid w:val="001B21A1"/>
    <w:rsid w:val="001E1883"/>
    <w:rsid w:val="002333B7"/>
    <w:rsid w:val="00244D42"/>
    <w:rsid w:val="002618E9"/>
    <w:rsid w:val="002728C5"/>
    <w:rsid w:val="002751A1"/>
    <w:rsid w:val="002A1EE4"/>
    <w:rsid w:val="002D35FA"/>
    <w:rsid w:val="002F5517"/>
    <w:rsid w:val="00312C1A"/>
    <w:rsid w:val="00312DD1"/>
    <w:rsid w:val="00330BFE"/>
    <w:rsid w:val="0033176D"/>
    <w:rsid w:val="003504B5"/>
    <w:rsid w:val="00381932"/>
    <w:rsid w:val="003A2A06"/>
    <w:rsid w:val="003F448B"/>
    <w:rsid w:val="003F58F6"/>
    <w:rsid w:val="00413229"/>
    <w:rsid w:val="00427917"/>
    <w:rsid w:val="00433AB5"/>
    <w:rsid w:val="0046088D"/>
    <w:rsid w:val="0048006F"/>
    <w:rsid w:val="004901B2"/>
    <w:rsid w:val="004C63EE"/>
    <w:rsid w:val="004D1EE6"/>
    <w:rsid w:val="0051029C"/>
    <w:rsid w:val="00575C2A"/>
    <w:rsid w:val="0059566C"/>
    <w:rsid w:val="005D680C"/>
    <w:rsid w:val="005F56A6"/>
    <w:rsid w:val="006012C6"/>
    <w:rsid w:val="00617630"/>
    <w:rsid w:val="00620346"/>
    <w:rsid w:val="00675956"/>
    <w:rsid w:val="00690BB8"/>
    <w:rsid w:val="006B48F1"/>
    <w:rsid w:val="006C60A2"/>
    <w:rsid w:val="006D7CA8"/>
    <w:rsid w:val="00771468"/>
    <w:rsid w:val="00793203"/>
    <w:rsid w:val="00796A2A"/>
    <w:rsid w:val="007A2A69"/>
    <w:rsid w:val="007C33E4"/>
    <w:rsid w:val="007E771D"/>
    <w:rsid w:val="00816F96"/>
    <w:rsid w:val="008378B8"/>
    <w:rsid w:val="00872250"/>
    <w:rsid w:val="008F13F4"/>
    <w:rsid w:val="00951728"/>
    <w:rsid w:val="0096003B"/>
    <w:rsid w:val="00971DDC"/>
    <w:rsid w:val="00981F8E"/>
    <w:rsid w:val="00991070"/>
    <w:rsid w:val="00992DCD"/>
    <w:rsid w:val="009E748B"/>
    <w:rsid w:val="009E7C07"/>
    <w:rsid w:val="009F4E13"/>
    <w:rsid w:val="00A01DA0"/>
    <w:rsid w:val="00A22250"/>
    <w:rsid w:val="00A326C1"/>
    <w:rsid w:val="00A95088"/>
    <w:rsid w:val="00AB1A74"/>
    <w:rsid w:val="00AC4276"/>
    <w:rsid w:val="00B02EAA"/>
    <w:rsid w:val="00B12666"/>
    <w:rsid w:val="00B242CD"/>
    <w:rsid w:val="00B373DF"/>
    <w:rsid w:val="00B6772C"/>
    <w:rsid w:val="00C1293E"/>
    <w:rsid w:val="00C2211B"/>
    <w:rsid w:val="00C50168"/>
    <w:rsid w:val="00C53622"/>
    <w:rsid w:val="00C54982"/>
    <w:rsid w:val="00C63F7D"/>
    <w:rsid w:val="00C76546"/>
    <w:rsid w:val="00C93EDD"/>
    <w:rsid w:val="00C953EF"/>
    <w:rsid w:val="00CF356A"/>
    <w:rsid w:val="00D25CA2"/>
    <w:rsid w:val="00D85273"/>
    <w:rsid w:val="00DA12AB"/>
    <w:rsid w:val="00E03919"/>
    <w:rsid w:val="00E11CEA"/>
    <w:rsid w:val="00E153F6"/>
    <w:rsid w:val="00E16DFF"/>
    <w:rsid w:val="00E43842"/>
    <w:rsid w:val="00E727C3"/>
    <w:rsid w:val="00E943EE"/>
    <w:rsid w:val="00EE5769"/>
    <w:rsid w:val="00F01A21"/>
    <w:rsid w:val="00F07CA0"/>
    <w:rsid w:val="00FA0729"/>
    <w:rsid w:val="00FF0AAD"/>
    <w:rsid w:val="014C3BFF"/>
    <w:rsid w:val="01850214"/>
    <w:rsid w:val="024B5499"/>
    <w:rsid w:val="02922C3C"/>
    <w:rsid w:val="02AB2DF5"/>
    <w:rsid w:val="02F5508C"/>
    <w:rsid w:val="049F077C"/>
    <w:rsid w:val="05EA57EB"/>
    <w:rsid w:val="07B65F53"/>
    <w:rsid w:val="07BE1761"/>
    <w:rsid w:val="07DF5728"/>
    <w:rsid w:val="093569E6"/>
    <w:rsid w:val="0CA64BAA"/>
    <w:rsid w:val="0CCE7298"/>
    <w:rsid w:val="102C0DF7"/>
    <w:rsid w:val="10513EB7"/>
    <w:rsid w:val="11AA1C81"/>
    <w:rsid w:val="15400993"/>
    <w:rsid w:val="156B1E3A"/>
    <w:rsid w:val="17DF05D5"/>
    <w:rsid w:val="1AB6080E"/>
    <w:rsid w:val="1AC301EE"/>
    <w:rsid w:val="1AFB1AF8"/>
    <w:rsid w:val="1BEB60A9"/>
    <w:rsid w:val="1D424385"/>
    <w:rsid w:val="1EBD20C5"/>
    <w:rsid w:val="229153B6"/>
    <w:rsid w:val="22C40E4F"/>
    <w:rsid w:val="23FC0562"/>
    <w:rsid w:val="241D3EA6"/>
    <w:rsid w:val="259346CB"/>
    <w:rsid w:val="290A181D"/>
    <w:rsid w:val="2A937DA1"/>
    <w:rsid w:val="2C041675"/>
    <w:rsid w:val="2C4E5509"/>
    <w:rsid w:val="2CB35492"/>
    <w:rsid w:val="2DF9427D"/>
    <w:rsid w:val="303F28D3"/>
    <w:rsid w:val="30834518"/>
    <w:rsid w:val="319E3805"/>
    <w:rsid w:val="33140241"/>
    <w:rsid w:val="340777F1"/>
    <w:rsid w:val="34BA6642"/>
    <w:rsid w:val="36DC7FFD"/>
    <w:rsid w:val="39AD7BA9"/>
    <w:rsid w:val="39DF1057"/>
    <w:rsid w:val="39F70F70"/>
    <w:rsid w:val="3B5D6CEA"/>
    <w:rsid w:val="3B9D7A6F"/>
    <w:rsid w:val="3D265E69"/>
    <w:rsid w:val="3EE44CD1"/>
    <w:rsid w:val="3F9138FE"/>
    <w:rsid w:val="41AA5EBB"/>
    <w:rsid w:val="41E27324"/>
    <w:rsid w:val="42A6635F"/>
    <w:rsid w:val="44B065DE"/>
    <w:rsid w:val="44C70D28"/>
    <w:rsid w:val="45A9472E"/>
    <w:rsid w:val="478B306F"/>
    <w:rsid w:val="479C03C5"/>
    <w:rsid w:val="4AB4292F"/>
    <w:rsid w:val="4BC26432"/>
    <w:rsid w:val="4E3E2AB7"/>
    <w:rsid w:val="4E820A1F"/>
    <w:rsid w:val="4FCD4F4B"/>
    <w:rsid w:val="50804CC2"/>
    <w:rsid w:val="52B31A6B"/>
    <w:rsid w:val="54146FC2"/>
    <w:rsid w:val="5516407E"/>
    <w:rsid w:val="55894061"/>
    <w:rsid w:val="56521B77"/>
    <w:rsid w:val="56862F15"/>
    <w:rsid w:val="573555C4"/>
    <w:rsid w:val="5833268D"/>
    <w:rsid w:val="58A14AF4"/>
    <w:rsid w:val="5B4F4254"/>
    <w:rsid w:val="5BD06ADE"/>
    <w:rsid w:val="5D147FFB"/>
    <w:rsid w:val="5D1B5FE2"/>
    <w:rsid w:val="5DDE4DEF"/>
    <w:rsid w:val="5EBE75CE"/>
    <w:rsid w:val="60894BB1"/>
    <w:rsid w:val="619B0CE2"/>
    <w:rsid w:val="61A85068"/>
    <w:rsid w:val="62026A58"/>
    <w:rsid w:val="64A45A5B"/>
    <w:rsid w:val="655F535E"/>
    <w:rsid w:val="66BC3382"/>
    <w:rsid w:val="67EF2A24"/>
    <w:rsid w:val="69797C2C"/>
    <w:rsid w:val="69B20770"/>
    <w:rsid w:val="6C8B2EA4"/>
    <w:rsid w:val="6DEB50A6"/>
    <w:rsid w:val="70E22C7F"/>
    <w:rsid w:val="7161089E"/>
    <w:rsid w:val="751C2D43"/>
    <w:rsid w:val="76632185"/>
    <w:rsid w:val="76713542"/>
    <w:rsid w:val="77EE2B89"/>
    <w:rsid w:val="78231496"/>
    <w:rsid w:val="78293E3D"/>
    <w:rsid w:val="78F6658D"/>
    <w:rsid w:val="79C37D1E"/>
    <w:rsid w:val="7A580633"/>
    <w:rsid w:val="7B492471"/>
    <w:rsid w:val="7B67291B"/>
    <w:rsid w:val="7C9C36A1"/>
    <w:rsid w:val="7DBC1B08"/>
    <w:rsid w:val="7F8940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nhideWhenUsed="0" w:uiPriority="0" w:name="header"/>
    <w:lsdException w:qFormat="1" w:unhideWhenUsed="0" w:uiPriority="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iPriority="0" w:semiHidden="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1"/>
    <w:unhideWhenUsed/>
    <w:qFormat/>
    <w:uiPriority w:val="99"/>
    <w:rPr>
      <w:sz w:val="18"/>
      <w:szCs w:val="18"/>
    </w:rPr>
  </w:style>
  <w:style w:type="paragraph" w:styleId="3">
    <w:name w:val="footer"/>
    <w:basedOn w:val="1"/>
    <w:semiHidden/>
    <w:qFormat/>
    <w:uiPriority w:val="0"/>
    <w:pPr>
      <w:tabs>
        <w:tab w:val="center" w:pos="4153"/>
        <w:tab w:val="right" w:pos="8306"/>
      </w:tabs>
      <w:snapToGrid w:val="0"/>
      <w:jc w:val="left"/>
    </w:pPr>
    <w:rPr>
      <w:sz w:val="18"/>
      <w:szCs w:val="18"/>
    </w:rPr>
  </w:style>
  <w:style w:type="paragraph" w:styleId="4">
    <w:name w:val="header"/>
    <w:basedOn w:val="1"/>
    <w:semiHidden/>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widowControl/>
      <w:jc w:val="left"/>
    </w:pPr>
    <w:rPr>
      <w:rFonts w:ascii="宋体" w:hAnsi="宋体" w:cs="宋体"/>
      <w:kern w:val="0"/>
      <w:sz w:val="24"/>
    </w:rPr>
  </w:style>
  <w:style w:type="character" w:styleId="8">
    <w:name w:val="page number"/>
    <w:basedOn w:val="7"/>
    <w:semiHidden/>
    <w:qFormat/>
    <w:uiPriority w:val="0"/>
  </w:style>
  <w:style w:type="character" w:styleId="9">
    <w:name w:val="FollowedHyperlink"/>
    <w:basedOn w:val="7"/>
    <w:unhideWhenUsed/>
    <w:qFormat/>
    <w:uiPriority w:val="0"/>
    <w:rPr>
      <w:color w:val="800080"/>
      <w:u w:val="single"/>
    </w:rPr>
  </w:style>
  <w:style w:type="character" w:styleId="10">
    <w:name w:val="Hyperlink"/>
    <w:basedOn w:val="7"/>
    <w:qFormat/>
    <w:uiPriority w:val="0"/>
    <w:rPr>
      <w:color w:val="0000FF"/>
      <w:u w:val="single"/>
    </w:rPr>
  </w:style>
  <w:style w:type="character" w:customStyle="1" w:styleId="11">
    <w:name w:val="批注框文本 Char"/>
    <w:basedOn w:val="7"/>
    <w:link w:val="2"/>
    <w:semiHidden/>
    <w:qFormat/>
    <w:uiPriority w:val="99"/>
    <w:rPr>
      <w:kern w:val="2"/>
      <w:sz w:val="18"/>
      <w:szCs w:val="18"/>
    </w:rPr>
  </w:style>
  <w:style w:type="paragraph" w:customStyle="1" w:styleId="12">
    <w:name w:val="List Paragraph"/>
    <w:basedOn w:val="1"/>
    <w:unhideWhenUsed/>
    <w:qFormat/>
    <w:uiPriority w:val="99"/>
    <w:pPr>
      <w:ind w:firstLine="420" w:firstLineChars="200"/>
    </w:pPr>
  </w:style>
  <w:style w:type="paragraph" w:customStyle="1" w:styleId="13">
    <w:name w:val="info2"/>
    <w:basedOn w:val="1"/>
    <w:qFormat/>
    <w:uiPriority w:val="0"/>
    <w:pPr>
      <w:widowControl/>
      <w:spacing w:before="100" w:beforeAutospacing="1" w:after="100" w:afterAutospacing="1"/>
      <w:jc w:val="left"/>
    </w:pPr>
    <w:rPr>
      <w:rFonts w:ascii="宋体" w:hAnsi="宋体" w:cs="宋体"/>
      <w:color w:val="000000"/>
      <w:kern w:val="0"/>
      <w:sz w:val="23"/>
      <w:szCs w:val="23"/>
    </w:rPr>
  </w:style>
  <w:style w:type="paragraph" w:customStyle="1" w:styleId="14">
    <w:name w:val="_Style 25"/>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中兴品牌色彩体系">
      <a:dk1>
        <a:srgbClr val="008ED3"/>
      </a:dk1>
      <a:lt1>
        <a:srgbClr val="FFFFFF"/>
      </a:lt1>
      <a:dk2>
        <a:srgbClr val="0067B4"/>
      </a:dk2>
      <a:lt2>
        <a:srgbClr val="58595B"/>
      </a:lt2>
      <a:accent1>
        <a:srgbClr val="FFDE40"/>
      </a:accent1>
      <a:accent2>
        <a:srgbClr val="61CCF0"/>
      </a:accent2>
      <a:accent3>
        <a:srgbClr val="EE3D8A"/>
      </a:accent3>
      <a:accent4>
        <a:srgbClr val="922990"/>
      </a:accent4>
      <a:accent5>
        <a:srgbClr val="8DC642"/>
      </a:accent5>
      <a:accent6>
        <a:srgbClr val="58595B"/>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D2DF65-1085-4C04-A6CC-B559CDBF7340}">
  <ds:schemaRefs/>
</ds:datastoreItem>
</file>

<file path=docProps/app.xml><?xml version="1.0" encoding="utf-8"?>
<Properties xmlns="http://schemas.openxmlformats.org/officeDocument/2006/extended-properties" xmlns:vt="http://schemas.openxmlformats.org/officeDocument/2006/docPropsVTypes">
  <Template>Normal.dotm</Template>
  <Pages>4</Pages>
  <Words>2053</Words>
  <Characters>2217</Characters>
  <Lines>6</Lines>
  <Paragraphs>1</Paragraphs>
  <TotalTime>257</TotalTime>
  <ScaleCrop>false</ScaleCrop>
  <LinksUpToDate>false</LinksUpToDate>
  <CharactersWithSpaces>2237</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2015-09-21T05:36:00Z</dcterms:created>
  <dc:creator>123123</dc:creator>
  <cp:lastModifiedBy>Administrator</cp:lastModifiedBy>
  <cp:lastPrinted>2113-01-01T00:00:00Z</cp:lastPrinted>
  <dcterms:modified xsi:type="dcterms:W3CDTF">2022-01-25T02:59:20Z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