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微软雅黑" w:hAnsi="微软雅黑" w:eastAsia="微软雅黑" w:cs="PingFangSC-Medium"/>
          <w:b/>
          <w:kern w:val="0"/>
          <w:sz w:val="32"/>
          <w:szCs w:val="32"/>
          <w:lang w:bidi="ar"/>
        </w:rPr>
      </w:pPr>
      <w:r>
        <w:rPr>
          <w:rFonts w:hint="eastAsia" w:ascii="微软雅黑" w:hAnsi="微软雅黑" w:eastAsia="微软雅黑" w:cs="PingFangSC-Medium"/>
          <w:b/>
          <w:color w:val="213543"/>
          <w:kern w:val="0"/>
          <w:sz w:val="32"/>
          <w:szCs w:val="32"/>
          <w:lang w:bidi="ar"/>
        </w:rPr>
        <w:t>零跑汽车</w:t>
      </w:r>
      <w:r>
        <w:rPr>
          <w:rFonts w:ascii="微软雅黑" w:hAnsi="微软雅黑" w:eastAsia="微软雅黑" w:cs="PingFangSC-Medium"/>
          <w:b/>
          <w:color w:val="213543"/>
          <w:kern w:val="0"/>
          <w:sz w:val="32"/>
          <w:szCs w:val="32"/>
          <w:lang w:bidi="ar"/>
        </w:rPr>
        <w:t>202</w:t>
      </w:r>
      <w:r>
        <w:rPr>
          <w:rFonts w:hint="eastAsia" w:ascii="微软雅黑" w:hAnsi="微软雅黑" w:eastAsia="微软雅黑" w:cs="PingFangSC-Medium"/>
          <w:b/>
          <w:color w:val="213543"/>
          <w:kern w:val="0"/>
          <w:sz w:val="32"/>
          <w:szCs w:val="32"/>
          <w:lang w:val="en-US" w:eastAsia="zh-CN" w:bidi="ar"/>
        </w:rPr>
        <w:t>3</w:t>
      </w:r>
      <w:r>
        <w:rPr>
          <w:rFonts w:hint="eastAsia" w:ascii="微软雅黑" w:hAnsi="微软雅黑" w:eastAsia="微软雅黑" w:cs="PingFangSC-Medium"/>
          <w:b/>
          <w:color w:val="213543"/>
          <w:kern w:val="0"/>
          <w:sz w:val="32"/>
          <w:szCs w:val="32"/>
          <w:lang w:bidi="ar"/>
        </w:rPr>
        <w:t>年春季校招-招聘简章</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一、【公司简介】</w:t>
      </w:r>
    </w:p>
    <w:p>
      <w:pPr>
        <w:widowControl/>
        <w:jc w:val="left"/>
        <w:rPr>
          <w:rFonts w:ascii="PingFangSC-Medium" w:hAnsi="PingFangSC-Medium" w:eastAsia="PingFangSC-Medium" w:cs="PingFangSC-Medium"/>
          <w:color w:val="213543"/>
          <w:kern w:val="0"/>
          <w:sz w:val="22"/>
          <w:szCs w:val="24"/>
          <w:lang w:bidi="ar"/>
        </w:rPr>
      </w:pPr>
      <w:r>
        <w:rPr>
          <w:rFonts w:hint="eastAsia" w:ascii="PingFangSC-Medium" w:hAnsi="PingFangSC-Medium" w:eastAsia="PingFangSC-Medium" w:cs="PingFangSC-Medium"/>
          <w:color w:val="213543"/>
          <w:kern w:val="0"/>
          <w:sz w:val="24"/>
          <w:szCs w:val="24"/>
          <w:lang w:bidi="ar"/>
        </w:rPr>
        <w:t>一家拥有IT基因，属于“IT人造车”的汽车公司</w:t>
      </w:r>
    </w:p>
    <w:p>
      <w:pPr>
        <w:widowControl/>
        <w:spacing w:line="360" w:lineRule="auto"/>
        <w:ind w:firstLine="400" w:firstLineChars="200"/>
        <w:jc w:val="left"/>
        <w:rPr>
          <w:rFonts w:ascii="宋体" w:hAnsi="宋体"/>
          <w:sz w:val="20"/>
        </w:rPr>
      </w:pPr>
      <w:r>
        <w:rPr>
          <w:rFonts w:ascii="宋体" w:hAnsi="宋体"/>
          <w:sz w:val="20"/>
        </w:rPr>
        <w:t>零跑汽车是一家创新型的智能电动汽车企业，拥有智能电动车完整自主研发能力的整车厂家由浙江大华技术股份有限公司及其主要创始人共同投资成立，始终坚持核心技术的自主研发致力于打造高品质、国际化、具有核心技术能力的全球主流智能电动车品牌</w:t>
      </w:r>
      <w:r>
        <w:rPr>
          <w:rFonts w:hint="eastAsia" w:ascii="宋体" w:hAnsi="宋体"/>
          <w:sz w:val="20"/>
        </w:rPr>
        <w:t>。</w:t>
      </w:r>
    </w:p>
    <w:p>
      <w:pPr>
        <w:widowControl/>
        <w:jc w:val="left"/>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敢于创新，更尊重制造</w:t>
      </w:r>
    </w:p>
    <w:p>
      <w:pPr>
        <w:widowControl/>
        <w:spacing w:line="360" w:lineRule="auto"/>
        <w:ind w:firstLine="400" w:firstLineChars="200"/>
        <w:jc w:val="left"/>
        <w:rPr>
          <w:rFonts w:ascii="宋体" w:hAnsi="宋体"/>
          <w:sz w:val="20"/>
        </w:rPr>
      </w:pPr>
      <w:r>
        <w:rPr>
          <w:rFonts w:ascii="宋体" w:hAnsi="宋体"/>
          <w:sz w:val="20"/>
        </w:rPr>
        <w:t>在追求卓越的道路上，逐步完成了众多从零到壹</w:t>
      </w:r>
      <w:r>
        <w:rPr>
          <w:rFonts w:hint="eastAsia" w:ascii="宋体" w:hAnsi="宋体"/>
          <w:sz w:val="20"/>
        </w:rPr>
        <w:t>！公司总部位于浙江杭州滨江高新开发区，公司业务范围涵盖智能电动汽车整车设计、研发制造、智能驾驶、电机电控、电池系统开发，以及基于云计算的车联网解决方案。依托大华股份雄厚的资金实力及其在技术研发、流程体系和质量管理等方面的成熟经验，对产品的技术创新、工业设计、工艺品质有着极致的追求。</w:t>
      </w:r>
    </w:p>
    <w:p>
      <w:pPr>
        <w:widowControl/>
        <w:spacing w:line="360" w:lineRule="auto"/>
        <w:ind w:firstLine="400" w:firstLineChars="200"/>
        <w:jc w:val="left"/>
        <w:rPr>
          <w:rFonts w:ascii="宋体" w:hAnsi="宋体"/>
          <w:sz w:val="20"/>
        </w:rPr>
      </w:pPr>
      <w:r>
        <w:rPr>
          <w:rFonts w:hint="eastAsia" w:ascii="宋体" w:hAnsi="宋体"/>
          <w:sz w:val="20"/>
        </w:rPr>
        <w:t>公司一期投资26亿元年产10万辆的整车制造基地坐落在美丽的金华市新能源小镇，工厂占地551亩，厂房面积23余万平方米，包含冲压、焊装、涂装、总装四大工艺产线及三电（电驱、电池、电子）生产车间。目前公司已有S01\T03</w:t>
      </w:r>
      <w:r>
        <w:rPr>
          <w:rFonts w:hint="eastAsia" w:ascii="宋体" w:hAnsi="宋体"/>
          <w:sz w:val="20"/>
          <w:lang w:val="en-US" w:eastAsia="zh-CN"/>
        </w:rPr>
        <w:t>\C11\C01四</w:t>
      </w:r>
      <w:r>
        <w:rPr>
          <w:rFonts w:hint="eastAsia" w:ascii="宋体" w:hAnsi="宋体"/>
          <w:sz w:val="20"/>
        </w:rPr>
        <w:t>款车型销售，整体发展势头处于新造车势力前列。让我一起从“零”开始，嬴“跑”人生！</w:t>
      </w:r>
    </w:p>
    <w:p>
      <w:pPr>
        <w:widowControl/>
        <w:jc w:val="left"/>
        <w:rPr>
          <w:rFonts w:ascii="PingFangSC-Medium" w:hAnsi="PingFangSC-Medium" w:eastAsia="PingFangSC-Medium" w:cs="PingFangSC-Medium"/>
          <w:color w:val="213543"/>
          <w:kern w:val="0"/>
          <w:sz w:val="24"/>
          <w:szCs w:val="24"/>
          <w:lang w:bidi="ar"/>
        </w:rPr>
      </w:pPr>
      <w:r>
        <w:rPr>
          <w:rFonts w:ascii="PingFangSC-Medium" w:hAnsi="PingFangSC-Medium" w:eastAsia="PingFangSC-Medium" w:cs="PingFangSC-Medium"/>
          <w:color w:val="213543"/>
          <w:kern w:val="0"/>
          <w:sz w:val="24"/>
          <w:szCs w:val="24"/>
          <w:lang w:bidi="ar"/>
        </w:rPr>
        <w:t>零跑有你 领跑由你</w:t>
      </w:r>
    </w:p>
    <w:p>
      <w:pPr>
        <w:widowControl/>
        <w:spacing w:line="360" w:lineRule="auto"/>
        <w:jc w:val="left"/>
        <w:rPr>
          <w:rFonts w:ascii="宋体" w:hAnsi="宋体"/>
          <w:sz w:val="20"/>
        </w:rPr>
      </w:pPr>
      <w:r>
        <w:rPr>
          <w:rFonts w:ascii="宋体" w:hAnsi="宋体"/>
          <w:sz w:val="20"/>
        </w:rPr>
        <w:t>Join Leapmotor - Run to the future</w:t>
      </w:r>
      <w:r>
        <w:rPr>
          <w:rFonts w:hint="eastAsia" w:ascii="宋体" w:hAnsi="宋体"/>
          <w:sz w:val="20"/>
        </w:rPr>
        <w:t>！</w:t>
      </w:r>
    </w:p>
    <w:p>
      <w:pPr>
        <w:widowControl/>
        <w:spacing w:line="360" w:lineRule="auto"/>
        <w:jc w:val="left"/>
        <w:rPr>
          <w:rFonts w:ascii="宋体" w:hAnsi="宋体"/>
          <w:sz w:val="20"/>
        </w:rPr>
      </w:pPr>
      <w:r>
        <w:rPr>
          <w:rFonts w:ascii="宋体" w:hAnsi="宋体"/>
          <w:sz w:val="20"/>
        </w:rPr>
        <w:t>我们共同期待有创业激情和冒险精神，才华横溢的你</w:t>
      </w:r>
      <w:r>
        <w:rPr>
          <w:rFonts w:hint="eastAsia" w:ascii="宋体" w:hAnsi="宋体"/>
          <w:sz w:val="20"/>
        </w:rPr>
        <w:t>！</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二、【招聘岗位及面试流程】</w:t>
      </w:r>
    </w:p>
    <w:p>
      <w:pPr>
        <w:widowControl/>
        <w:jc w:val="left"/>
        <w:rPr>
          <w:rFonts w:ascii="宋体" w:hAnsi="宋体"/>
          <w:b/>
        </w:rPr>
      </w:pPr>
      <w:r>
        <w:rPr>
          <w:rFonts w:ascii="宋体" w:hAnsi="宋体"/>
          <w:b/>
        </w:rPr>
        <w:t>1</w:t>
      </w:r>
      <w:r>
        <w:rPr>
          <w:rFonts w:hint="eastAsia" w:ascii="宋体" w:hAnsi="宋体"/>
          <w:b/>
        </w:rPr>
        <w:t>、招聘岗位</w:t>
      </w:r>
    </w:p>
    <w:tbl>
      <w:tblPr>
        <w:tblStyle w:val="6"/>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134"/>
        <w:gridCol w:w="992"/>
        <w:gridCol w:w="5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418"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岗位</w:t>
            </w:r>
          </w:p>
        </w:tc>
        <w:tc>
          <w:tcPr>
            <w:tcW w:w="1134"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需求人数</w:t>
            </w:r>
          </w:p>
        </w:tc>
        <w:tc>
          <w:tcPr>
            <w:tcW w:w="992"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学历</w:t>
            </w:r>
          </w:p>
        </w:tc>
        <w:tc>
          <w:tcPr>
            <w:tcW w:w="5564"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基础要求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质量检验员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30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大专</w:t>
            </w:r>
          </w:p>
        </w:tc>
        <w:tc>
          <w:tcPr>
            <w:tcW w:w="5564" w:type="dxa"/>
            <w:vMerge w:val="restart"/>
            <w:vAlign w:val="center"/>
          </w:tcPr>
          <w:p>
            <w:pPr>
              <w:pStyle w:val="13"/>
              <w:widowControl/>
              <w:numPr>
                <w:ilvl w:val="0"/>
                <w:numId w:val="1"/>
              </w:numPr>
              <w:spacing w:line="360" w:lineRule="auto"/>
              <w:ind w:firstLineChars="0"/>
              <w:jc w:val="left"/>
              <w:rPr>
                <w:rFonts w:ascii="宋体" w:hAnsi="宋体" w:cs="SourceHanSansCN-Light"/>
                <w:kern w:val="0"/>
                <w:sz w:val="18"/>
                <w:szCs w:val="16"/>
                <w:lang w:bidi="ar"/>
              </w:rPr>
            </w:pPr>
            <w:r>
              <w:rPr>
                <w:rFonts w:hint="eastAsia" w:ascii="宋体" w:hAnsi="宋体" w:cs="SourceHanSansCN-Light"/>
                <w:kern w:val="0"/>
                <w:sz w:val="18"/>
                <w:szCs w:val="16"/>
                <w:lang w:bidi="ar"/>
              </w:rPr>
              <w:t>新能源汽车、汽车运用与维修、</w:t>
            </w:r>
            <w:r>
              <w:rPr>
                <w:rFonts w:ascii="宋体" w:hAnsi="宋体" w:cs="SourceHanSansCN-Light"/>
                <w:kern w:val="0"/>
                <w:sz w:val="18"/>
                <w:szCs w:val="16"/>
                <w:lang w:bidi="ar"/>
              </w:rPr>
              <w:t>机械制造与自动化数控技术</w:t>
            </w:r>
            <w:r>
              <w:rPr>
                <w:rFonts w:hint="eastAsia" w:ascii="宋体" w:hAnsi="宋体" w:cs="SourceHanSansCN-Light"/>
                <w:kern w:val="0"/>
                <w:sz w:val="18"/>
                <w:szCs w:val="16"/>
                <w:lang w:bidi="ar"/>
              </w:rPr>
              <w:t>、机电一体化、电气自动化、工业工程等相关理工科专业；</w:t>
            </w:r>
          </w:p>
          <w:p>
            <w:pPr>
              <w:widowControl/>
              <w:spacing w:line="360" w:lineRule="auto"/>
              <w:jc w:val="left"/>
              <w:rPr>
                <w:rFonts w:ascii="宋体" w:hAnsi="宋体" w:cs="SourceHanSansCN-Light"/>
                <w:kern w:val="0"/>
                <w:sz w:val="18"/>
                <w:szCs w:val="16"/>
                <w:lang w:bidi="ar"/>
              </w:rPr>
            </w:pPr>
            <w:r>
              <w:rPr>
                <w:rFonts w:ascii="宋体" w:hAnsi="宋体" w:cs="SourceHanSansCN-Light"/>
                <w:kern w:val="0"/>
                <w:sz w:val="18"/>
                <w:szCs w:val="16"/>
                <w:lang w:bidi="ar"/>
              </w:rPr>
              <w:t>2</w:t>
            </w:r>
            <w:r>
              <w:rPr>
                <w:rFonts w:hint="eastAsia" w:ascii="宋体" w:hAnsi="宋体" w:cs="SourceHanSansCN-Light"/>
                <w:kern w:val="0"/>
                <w:sz w:val="18"/>
                <w:szCs w:val="16"/>
                <w:lang w:bidi="ar"/>
              </w:rPr>
              <w:t>、1</w:t>
            </w:r>
            <w:r>
              <w:rPr>
                <w:rFonts w:hint="eastAsia" w:ascii="宋体" w:hAnsi="宋体" w:cs="SourceHanSansCN-Light"/>
                <w:kern w:val="0"/>
                <w:sz w:val="18"/>
                <w:szCs w:val="16"/>
                <w:lang w:val="en-US" w:eastAsia="zh-CN" w:bidi="ar"/>
              </w:rPr>
              <w:t>8</w:t>
            </w:r>
            <w:r>
              <w:rPr>
                <w:rFonts w:hint="eastAsia" w:ascii="宋体" w:hAnsi="宋体" w:cs="SourceHanSansCN-Light"/>
                <w:kern w:val="0"/>
                <w:sz w:val="18"/>
                <w:szCs w:val="16"/>
                <w:lang w:bidi="ar"/>
              </w:rPr>
              <w:t>周岁及以上，热爱从事新能源汽车行业；</w:t>
            </w:r>
          </w:p>
          <w:p>
            <w:pPr>
              <w:widowControl/>
              <w:spacing w:line="360" w:lineRule="auto"/>
              <w:jc w:val="left"/>
              <w:rPr>
                <w:rFonts w:ascii="宋体" w:hAnsi="宋体" w:cs="SourceHanSansCN-Light"/>
                <w:kern w:val="0"/>
                <w:sz w:val="18"/>
                <w:szCs w:val="16"/>
                <w:lang w:bidi="ar"/>
              </w:rPr>
            </w:pPr>
            <w:r>
              <w:rPr>
                <w:rFonts w:hint="eastAsia" w:ascii="宋体" w:hAnsi="宋体" w:cs="SourceHanSansCN-Light"/>
                <w:kern w:val="0"/>
                <w:sz w:val="18"/>
                <w:szCs w:val="16"/>
                <w:lang w:bidi="ar"/>
              </w:rPr>
              <w:t>3、良好的团队精神和学习能力。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现场工艺员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ascii="宋体" w:hAnsi="宋体" w:cs="SourceHanSansCN-Light"/>
                <w:kern w:val="0"/>
                <w:sz w:val="18"/>
                <w:szCs w:val="16"/>
                <w:lang w:bidi="ar"/>
              </w:rPr>
              <w:t>10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大专</w:t>
            </w:r>
          </w:p>
        </w:tc>
        <w:tc>
          <w:tcPr>
            <w:tcW w:w="55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设备维修员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ascii="宋体" w:hAnsi="宋体" w:cs="SourceHanSansCN-Light"/>
                <w:kern w:val="0"/>
                <w:sz w:val="18"/>
                <w:szCs w:val="16"/>
                <w:lang w:bidi="ar"/>
              </w:rPr>
              <w:t>20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大专</w:t>
            </w:r>
          </w:p>
        </w:tc>
        <w:tc>
          <w:tcPr>
            <w:tcW w:w="55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测试技术员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10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大/中专</w:t>
            </w:r>
          </w:p>
        </w:tc>
        <w:tc>
          <w:tcPr>
            <w:tcW w:w="55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装配技术员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ascii="宋体" w:hAnsi="宋体" w:cs="SourceHanSansCN-Light"/>
                <w:kern w:val="0"/>
                <w:sz w:val="18"/>
                <w:szCs w:val="16"/>
                <w:lang w:bidi="ar"/>
              </w:rPr>
              <w:t>200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大/中专</w:t>
            </w:r>
          </w:p>
        </w:tc>
        <w:tc>
          <w:tcPr>
            <w:tcW w:w="55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41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仓库管理员</w:t>
            </w:r>
          </w:p>
        </w:tc>
        <w:tc>
          <w:tcPr>
            <w:tcW w:w="1134" w:type="dxa"/>
            <w:vAlign w:val="center"/>
          </w:tcPr>
          <w:p>
            <w:pPr>
              <w:widowControl/>
              <w:spacing w:line="360" w:lineRule="auto"/>
              <w:jc w:val="center"/>
              <w:rPr>
                <w:rFonts w:ascii="宋体" w:hAnsi="宋体" w:cs="SourceHanSansCN-Light"/>
                <w:kern w:val="0"/>
                <w:sz w:val="18"/>
                <w:szCs w:val="16"/>
                <w:lang w:bidi="ar"/>
              </w:rPr>
            </w:pPr>
            <w:r>
              <w:rPr>
                <w:rFonts w:ascii="宋体" w:hAnsi="宋体" w:cs="SourceHanSansCN-Light"/>
                <w:kern w:val="0"/>
                <w:sz w:val="18"/>
                <w:szCs w:val="16"/>
                <w:lang w:bidi="ar"/>
              </w:rPr>
              <w:t>30</w:t>
            </w:r>
          </w:p>
        </w:tc>
        <w:tc>
          <w:tcPr>
            <w:tcW w:w="992"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大/中专</w:t>
            </w:r>
          </w:p>
        </w:tc>
        <w:tc>
          <w:tcPr>
            <w:tcW w:w="5564" w:type="dxa"/>
            <w:vMerge w:val="continue"/>
            <w:vAlign w:val="center"/>
          </w:tcPr>
          <w:p>
            <w:pPr>
              <w:widowControl/>
              <w:spacing w:line="360" w:lineRule="auto"/>
              <w:jc w:val="left"/>
              <w:rPr>
                <w:rFonts w:ascii="宋体" w:hAnsi="宋体" w:cs="SourceHanSansCN-Light"/>
                <w:kern w:val="0"/>
                <w:sz w:val="18"/>
                <w:szCs w:val="16"/>
                <w:lang w:bidi="ar"/>
              </w:rPr>
            </w:pPr>
          </w:p>
        </w:tc>
      </w:tr>
    </w:tbl>
    <w:p>
      <w:pPr>
        <w:widowControl/>
        <w:jc w:val="left"/>
        <w:rPr>
          <w:rFonts w:ascii="宋体" w:hAnsi="宋体"/>
          <w:b/>
        </w:rPr>
      </w:pPr>
    </w:p>
    <w:p>
      <w:pPr>
        <w:widowControl/>
        <w:jc w:val="left"/>
        <w:rPr>
          <w:rFonts w:ascii="宋体" w:hAnsi="宋体"/>
          <w:b/>
        </w:rPr>
      </w:pPr>
    </w:p>
    <w:p>
      <w:pPr>
        <w:widowControl/>
        <w:jc w:val="left"/>
        <w:rPr>
          <w:rFonts w:ascii="宋体" w:hAnsi="宋体"/>
          <w:b/>
        </w:rPr>
      </w:pPr>
    </w:p>
    <w:p>
      <w:pPr>
        <w:widowControl/>
        <w:jc w:val="left"/>
        <w:rPr>
          <w:rFonts w:ascii="宋体" w:hAnsi="宋体"/>
          <w:b/>
        </w:rPr>
      </w:pPr>
      <w:r>
        <w:rPr>
          <w:rFonts w:ascii="宋体" w:hAnsi="宋体"/>
          <w:b/>
        </w:rPr>
        <w:t>2</w:t>
      </w:r>
      <w:r>
        <w:rPr>
          <w:rFonts w:hint="eastAsia" w:ascii="宋体" w:hAnsi="宋体"/>
          <w:b/>
        </w:rPr>
        <w:t>、招聘及面试流程：</w:t>
      </w:r>
    </w:p>
    <w:p>
      <w:pPr>
        <w:spacing w:line="360" w:lineRule="auto"/>
        <w:rPr>
          <w:rFonts w:ascii="宋体" w:hAnsi="宋体"/>
          <w:b/>
        </w:rPr>
      </w:pPr>
      <w:r>
        <w:rPr>
          <w:rFonts w:ascii="宋体" w:hAnsi="宋体"/>
        </w:rPr>
        <w:drawing>
          <wp:inline distT="0" distB="0" distL="114300" distR="114300">
            <wp:extent cx="5756910" cy="875665"/>
            <wp:effectExtent l="0" t="0" r="8890" b="1333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6"/>
                    <a:stretch>
                      <a:fillRect/>
                    </a:stretch>
                  </pic:blipFill>
                  <pic:spPr>
                    <a:xfrm>
                      <a:off x="0" y="0"/>
                      <a:ext cx="5756910" cy="875665"/>
                    </a:xfrm>
                    <a:prstGeom prst="rect">
                      <a:avLst/>
                    </a:prstGeom>
                    <a:noFill/>
                    <a:ln w="9525">
                      <a:noFill/>
                    </a:ln>
                  </pic:spPr>
                </pic:pic>
              </a:graphicData>
            </a:graphic>
          </wp:inline>
        </w:drawing>
      </w:r>
    </w:p>
    <w:p>
      <w:pPr>
        <w:spacing w:line="360" w:lineRule="auto"/>
        <w:rPr>
          <w:rFonts w:ascii="宋体" w:hAnsi="宋体"/>
          <w:b/>
        </w:rPr>
      </w:pP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三、【培养方式及职业发展】</w:t>
      </w:r>
    </w:p>
    <w:p>
      <w:pPr>
        <w:spacing w:line="360" w:lineRule="auto"/>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培养方式：</w:t>
      </w:r>
    </w:p>
    <w:p>
      <w:pPr>
        <w:spacing w:line="360" w:lineRule="auto"/>
        <w:rPr>
          <w:rFonts w:ascii="宋体" w:hAnsi="宋体"/>
          <w:sz w:val="20"/>
          <w:szCs w:val="22"/>
        </w:rPr>
      </w:pPr>
      <w:r>
        <w:rPr>
          <w:rFonts w:hint="eastAsia" w:ascii="宋体" w:hAnsi="宋体"/>
          <w:sz w:val="20"/>
          <w:szCs w:val="22"/>
        </w:rPr>
        <w:t>第一阶段：军事化职业体能素质训练，让您具备进入职场所需的健康体魄</w:t>
      </w:r>
    </w:p>
    <w:p>
      <w:pPr>
        <w:spacing w:line="360" w:lineRule="auto"/>
        <w:rPr>
          <w:rFonts w:ascii="宋体" w:hAnsi="宋体"/>
          <w:sz w:val="20"/>
          <w:szCs w:val="22"/>
        </w:rPr>
      </w:pPr>
      <w:r>
        <w:rPr>
          <w:rFonts w:hint="eastAsia" w:ascii="宋体" w:hAnsi="宋体"/>
          <w:sz w:val="20"/>
          <w:szCs w:val="22"/>
        </w:rPr>
        <w:t>第二阶段：新人训练营导入培训，了解企业的发展历程及公司制度规定</w:t>
      </w:r>
    </w:p>
    <w:p>
      <w:pPr>
        <w:spacing w:line="360" w:lineRule="auto"/>
        <w:rPr>
          <w:rFonts w:ascii="宋体" w:hAnsi="宋体"/>
          <w:sz w:val="20"/>
          <w:szCs w:val="22"/>
        </w:rPr>
      </w:pPr>
      <w:r>
        <w:rPr>
          <w:rFonts w:hint="eastAsia" w:ascii="宋体" w:hAnsi="宋体"/>
          <w:sz w:val="20"/>
          <w:szCs w:val="22"/>
        </w:rPr>
        <w:t>第三阶段：岗位实训，师带徒，让您在岗位上跟着给您指定的师傅进行学习</w:t>
      </w:r>
    </w:p>
    <w:p>
      <w:pPr>
        <w:spacing w:line="360" w:lineRule="auto"/>
        <w:rPr>
          <w:rFonts w:ascii="宋体" w:hAnsi="宋体"/>
          <w:sz w:val="20"/>
          <w:szCs w:val="22"/>
        </w:rPr>
      </w:pPr>
      <w:r>
        <w:rPr>
          <w:rFonts w:hint="eastAsia" w:ascii="宋体" w:hAnsi="宋体"/>
          <w:sz w:val="20"/>
          <w:szCs w:val="22"/>
        </w:rPr>
        <w:t>第四阶段：定岗及技能评定：结合您的学习实操情况，进行岗位确定和技能评定</w:t>
      </w:r>
    </w:p>
    <w:p>
      <w:pPr>
        <w:spacing w:line="360" w:lineRule="auto"/>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职业发展：</w:t>
      </w:r>
    </w:p>
    <w:p>
      <w:pPr>
        <w:spacing w:line="360" w:lineRule="auto"/>
        <w:rPr>
          <w:rFonts w:ascii="宋体" w:hAnsi="宋体"/>
          <w:sz w:val="20"/>
          <w:szCs w:val="22"/>
        </w:rPr>
      </w:pPr>
      <w:r>
        <w:rPr>
          <w:rFonts w:hint="eastAsia" w:ascii="宋体" w:hAnsi="宋体"/>
          <w:sz w:val="20"/>
          <w:szCs w:val="22"/>
        </w:rPr>
        <w:t>技术通道：由初学者，成长初级技工-高级技工-技师-高级技师</w:t>
      </w:r>
    </w:p>
    <w:p>
      <w:pPr>
        <w:spacing w:line="360" w:lineRule="auto"/>
        <w:rPr>
          <w:rFonts w:ascii="宋体" w:hAnsi="宋体"/>
          <w:sz w:val="20"/>
          <w:szCs w:val="22"/>
        </w:rPr>
      </w:pPr>
      <w:r>
        <w:rPr>
          <w:rFonts w:hint="eastAsia" w:ascii="宋体" w:hAnsi="宋体"/>
          <w:sz w:val="20"/>
          <w:szCs w:val="22"/>
        </w:rPr>
        <w:t>管理通道：经过系统学习，从基本一线管理岗位，班长-组长-主管-经理</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四、【薪资福利与激励】</w:t>
      </w:r>
    </w:p>
    <w:p>
      <w:pPr>
        <w:widowControl/>
        <w:jc w:val="left"/>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有竞争力的薪酬体系</w:t>
      </w:r>
    </w:p>
    <w:p>
      <w:pPr>
        <w:spacing w:line="360" w:lineRule="auto"/>
        <w:rPr>
          <w:rFonts w:ascii="宋体" w:hAnsi="宋体"/>
          <w:sz w:val="20"/>
        </w:rPr>
      </w:pPr>
      <w:r>
        <w:rPr>
          <w:rFonts w:hint="eastAsia" w:ascii="宋体" w:hAnsi="宋体"/>
          <w:sz w:val="20"/>
        </w:rPr>
        <w:t>——基本薪酬</w:t>
      </w:r>
      <w:r>
        <w:rPr>
          <w:rFonts w:ascii="宋体" w:hAnsi="宋体"/>
          <w:sz w:val="20"/>
        </w:rPr>
        <w:t xml:space="preserve"> : </w:t>
      </w:r>
      <w:r>
        <w:rPr>
          <w:rFonts w:hint="eastAsia" w:ascii="宋体" w:hAnsi="宋体"/>
          <w:sz w:val="20"/>
        </w:rPr>
        <w:t>初入职场，提供您生活基本所需的薪酬，月度薪酬</w:t>
      </w:r>
      <w:r>
        <w:rPr>
          <w:rFonts w:ascii="宋体" w:hAnsi="宋体"/>
          <w:sz w:val="20"/>
        </w:rPr>
        <w:t>4000-6500</w:t>
      </w:r>
      <w:r>
        <w:rPr>
          <w:rFonts w:hint="eastAsia" w:ascii="宋体" w:hAnsi="宋体"/>
          <w:sz w:val="20"/>
        </w:rPr>
        <w:t>元</w:t>
      </w:r>
      <w:r>
        <w:rPr>
          <w:rFonts w:ascii="宋体" w:hAnsi="宋体"/>
          <w:sz w:val="20"/>
        </w:rPr>
        <w:t>/</w:t>
      </w:r>
      <w:r>
        <w:rPr>
          <w:rFonts w:hint="eastAsia" w:ascii="宋体" w:hAnsi="宋体"/>
          <w:sz w:val="20"/>
        </w:rPr>
        <w:t>月；</w:t>
      </w:r>
    </w:p>
    <w:p>
      <w:pPr>
        <w:spacing w:line="360" w:lineRule="auto"/>
        <w:rPr>
          <w:rFonts w:ascii="宋体" w:hAnsi="宋体"/>
          <w:sz w:val="20"/>
        </w:rPr>
      </w:pPr>
      <w:r>
        <w:rPr>
          <w:rFonts w:hint="eastAsia" w:ascii="宋体" w:hAnsi="宋体"/>
          <w:sz w:val="20"/>
        </w:rPr>
        <w:t>——年度奖金：业绩导向，与公司和个人的年度绩效达成挂钩；</w:t>
      </w:r>
    </w:p>
    <w:p>
      <w:pPr>
        <w:spacing w:line="360" w:lineRule="auto"/>
        <w:rPr>
          <w:rFonts w:ascii="宋体" w:hAnsi="宋体"/>
          <w:sz w:val="20"/>
        </w:rPr>
      </w:pPr>
      <w:r>
        <w:rPr>
          <w:rFonts w:hint="eastAsia" w:ascii="宋体" w:hAnsi="宋体"/>
          <w:sz w:val="20"/>
        </w:rPr>
        <w:t>——中长期激励：服务满一定年限提供现金或实物奖励，成长为公司</w:t>
      </w:r>
      <w:r>
        <w:rPr>
          <w:rFonts w:ascii="宋体" w:hAnsi="宋体"/>
          <w:sz w:val="20"/>
        </w:rPr>
        <w:t>关键核心人才</w:t>
      </w:r>
      <w:r>
        <w:rPr>
          <w:rFonts w:hint="eastAsia" w:ascii="宋体" w:hAnsi="宋体"/>
          <w:sz w:val="20"/>
        </w:rPr>
        <w:t>有机会获得股权激励。</w:t>
      </w:r>
    </w:p>
    <w:p>
      <w:pPr>
        <w:spacing w:line="360" w:lineRule="auto"/>
        <w:rPr>
          <w:rFonts w:ascii="宋体" w:hAnsi="宋体"/>
          <w:sz w:val="20"/>
        </w:rPr>
      </w:pPr>
    </w:p>
    <w:p>
      <w:pPr>
        <w:spacing w:line="360" w:lineRule="auto"/>
        <w:rPr>
          <w:rFonts w:ascii="宋体" w:hAnsi="宋体"/>
          <w:sz w:val="20"/>
        </w:rPr>
      </w:pPr>
      <w:r>
        <w:rPr>
          <w:rFonts w:hint="eastAsia" w:ascii="PingFangSC-Medium" w:hAnsi="PingFangSC-Medium" w:eastAsia="PingFangSC-Medium" w:cs="PingFangSC-Medium"/>
          <w:color w:val="213543"/>
          <w:kern w:val="0"/>
          <w:sz w:val="24"/>
          <w:szCs w:val="24"/>
          <w:lang w:bidi="ar"/>
        </w:rPr>
        <w:t>有温度的福利</w:t>
      </w:r>
    </w:p>
    <w:p>
      <w:pPr>
        <w:spacing w:line="360" w:lineRule="auto"/>
        <w:rPr>
          <w:rFonts w:ascii="宋体" w:hAnsi="宋体"/>
          <w:sz w:val="20"/>
        </w:rPr>
      </w:pPr>
      <w:r>
        <w:rPr>
          <w:rFonts w:hint="eastAsia" w:ascii="宋体" w:hAnsi="宋体"/>
          <w:sz w:val="20"/>
        </w:rPr>
        <w:t>——六险一金：五险，补充医疗商业险，公积金</w:t>
      </w:r>
    </w:p>
    <w:p>
      <w:pPr>
        <w:spacing w:line="360" w:lineRule="auto"/>
        <w:rPr>
          <w:rFonts w:ascii="宋体" w:hAnsi="宋体"/>
          <w:sz w:val="20"/>
        </w:rPr>
      </w:pPr>
      <w:r>
        <w:rPr>
          <w:rFonts w:hint="eastAsia" w:ascii="宋体" w:hAnsi="宋体"/>
          <w:sz w:val="20"/>
        </w:rPr>
        <w:t>——补充年休假、节日慰问福利、年度免费体检</w:t>
      </w:r>
    </w:p>
    <w:p>
      <w:pPr>
        <w:spacing w:line="360" w:lineRule="auto"/>
        <w:rPr>
          <w:rFonts w:ascii="宋体" w:hAnsi="宋体"/>
          <w:sz w:val="20"/>
        </w:rPr>
      </w:pPr>
      <w:r>
        <w:rPr>
          <w:rFonts w:hint="eastAsia" w:ascii="宋体" w:hAnsi="宋体"/>
          <w:sz w:val="20"/>
        </w:rPr>
        <w:t>——公司员工购车优惠、不定期组织丰富的团建活动</w:t>
      </w:r>
    </w:p>
    <w:p>
      <w:pPr>
        <w:spacing w:line="360" w:lineRule="auto"/>
        <w:rPr>
          <w:rFonts w:ascii="宋体" w:hAnsi="宋体"/>
          <w:sz w:val="20"/>
        </w:rPr>
      </w:pPr>
      <w:r>
        <w:rPr>
          <w:rFonts w:hint="eastAsia" w:ascii="宋体" w:hAnsi="宋体"/>
          <w:sz w:val="20"/>
        </w:rPr>
        <w:t>——工作餐补、通勤班车、公司宿舍</w:t>
      </w:r>
    </w:p>
    <w:p>
      <w:pPr>
        <w:widowControl/>
        <w:jc w:val="left"/>
        <w:rPr>
          <w:rFonts w:ascii="PingFangSC-Medium" w:hAnsi="PingFangSC-Medium" w:eastAsia="PingFangSC-Medium" w:cs="PingFangSC-Medium"/>
          <w:b/>
          <w:color w:val="213543"/>
          <w:kern w:val="0"/>
          <w:sz w:val="22"/>
          <w:szCs w:val="24"/>
          <w:lang w:bidi="ar"/>
        </w:rPr>
      </w:pPr>
    </w:p>
    <w:p>
      <w:pPr>
        <w:widowControl/>
        <w:jc w:val="left"/>
        <w:rPr>
          <w:rFonts w:ascii="PingFangSC-Medium" w:hAnsi="PingFangSC-Medium" w:eastAsia="PingFangSC-Medium" w:cs="PingFangSC-Medium"/>
          <w:b/>
          <w:color w:val="213543"/>
          <w:kern w:val="0"/>
          <w:sz w:val="22"/>
          <w:szCs w:val="24"/>
          <w:lang w:bidi="ar"/>
        </w:rPr>
      </w:pPr>
    </w:p>
    <w:p>
      <w:pPr>
        <w:widowControl/>
        <w:jc w:val="left"/>
        <w:rPr>
          <w:rFonts w:ascii="PingFangSC-Medium" w:hAnsi="PingFangSC-Medium" w:eastAsia="PingFangSC-Medium" w:cs="PingFangSC-Medium"/>
          <w:b/>
          <w:color w:val="213543"/>
          <w:kern w:val="0"/>
          <w:sz w:val="22"/>
          <w:szCs w:val="24"/>
          <w:lang w:bidi="ar"/>
        </w:rPr>
      </w:pP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五、【公司及员工风采】</w:t>
      </w:r>
    </w:p>
    <w:p>
      <w:pPr>
        <w:spacing w:line="360" w:lineRule="auto"/>
        <w:ind w:firstLine="420" w:firstLineChars="200"/>
        <w:rPr>
          <w:rFonts w:ascii="宋体" w:hAnsi="宋体"/>
        </w:rPr>
      </w:pPr>
      <w:r>
        <w:rPr>
          <w:rFonts w:ascii="宋体" w:hAnsi="宋体"/>
        </w:rPr>
        <w:drawing>
          <wp:inline distT="0" distB="0" distL="0" distR="0">
            <wp:extent cx="1504315" cy="1322070"/>
            <wp:effectExtent l="0" t="0" r="44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rcRect t="4569"/>
                    <a:stretch>
                      <a:fillRect/>
                    </a:stretch>
                  </pic:blipFill>
                  <pic:spPr>
                    <a:xfrm>
                      <a:off x="0" y="0"/>
                      <a:ext cx="1504800" cy="1322674"/>
                    </a:xfrm>
                    <a:prstGeom prst="rect">
                      <a:avLst/>
                    </a:prstGeom>
                    <a:ln>
                      <a:noFill/>
                    </a:ln>
                  </pic:spPr>
                </pic:pic>
              </a:graphicData>
            </a:graphic>
          </wp:inline>
        </w:drawing>
      </w:r>
      <w:r>
        <w:rPr>
          <w:rFonts w:hint="eastAsia" w:ascii="宋体" w:hAnsi="宋体"/>
        </w:rPr>
        <w:t xml:space="preserve"> </w:t>
      </w:r>
      <w:r>
        <w:rPr>
          <w:rFonts w:ascii="宋体" w:hAnsi="宋体"/>
        </w:rPr>
        <w:drawing>
          <wp:inline distT="0" distB="0" distL="0" distR="0">
            <wp:extent cx="1807210" cy="1328420"/>
            <wp:effectExtent l="0" t="0" r="6350"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1835161" cy="1348956"/>
                    </a:xfrm>
                    <a:prstGeom prst="rect">
                      <a:avLst/>
                    </a:prstGeom>
                  </pic:spPr>
                </pic:pic>
              </a:graphicData>
            </a:graphic>
          </wp:inline>
        </w:drawing>
      </w:r>
      <w:r>
        <w:rPr>
          <w:rFonts w:ascii="宋体" w:hAnsi="宋体"/>
        </w:rPr>
        <w:t xml:space="preserve"> </w:t>
      </w:r>
      <w:r>
        <w:rPr>
          <w:rFonts w:ascii="宋体" w:hAnsi="宋体"/>
        </w:rPr>
        <w:drawing>
          <wp:inline distT="0" distB="0" distL="0" distR="0">
            <wp:extent cx="1860550" cy="1324610"/>
            <wp:effectExtent l="0" t="0" r="1397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1878782" cy="1337727"/>
                    </a:xfrm>
                    <a:prstGeom prst="rect">
                      <a:avLst/>
                    </a:prstGeom>
                  </pic:spPr>
                </pic:pic>
              </a:graphicData>
            </a:graphic>
          </wp:inline>
        </w:drawing>
      </w:r>
    </w:p>
    <w:p>
      <w:pPr>
        <w:spacing w:line="360" w:lineRule="auto"/>
        <w:ind w:firstLine="420" w:firstLineChars="200"/>
        <w:rPr>
          <w:rFonts w:ascii="宋体" w:hAnsi="宋体"/>
        </w:rPr>
      </w:pPr>
      <w:r>
        <w:rPr>
          <w:rFonts w:ascii="宋体" w:hAnsi="宋体"/>
        </w:rPr>
        <w:drawing>
          <wp:inline distT="0" distB="0" distL="0" distR="0">
            <wp:extent cx="5338445" cy="2841625"/>
            <wp:effectExtent l="0" t="0" r="10795" b="8255"/>
            <wp:docPr id="10" name="object 2"/>
            <wp:cNvGraphicFramePr/>
            <a:graphic xmlns:a="http://schemas.openxmlformats.org/drawingml/2006/main">
              <a:graphicData uri="http://schemas.openxmlformats.org/drawingml/2006/picture">
                <pic:pic xmlns:pic="http://schemas.openxmlformats.org/drawingml/2006/picture">
                  <pic:nvPicPr>
                    <pic:cNvPr id="10" name="object 2"/>
                    <pic:cNvPicPr/>
                  </pic:nvPicPr>
                  <pic:blipFill>
                    <a:blip r:embed="rId10" cstate="print"/>
                    <a:stretch>
                      <a:fillRect/>
                    </a:stretch>
                  </pic:blipFill>
                  <pic:spPr>
                    <a:xfrm>
                      <a:off x="0" y="0"/>
                      <a:ext cx="5365353" cy="2855818"/>
                    </a:xfrm>
                    <a:prstGeom prst="rect">
                      <a:avLst/>
                    </a:prstGeom>
                  </pic:spPr>
                </pic:pic>
              </a:graphicData>
            </a:graphic>
          </wp:inline>
        </w:drawing>
      </w:r>
    </w:p>
    <w:p>
      <w:pPr>
        <w:spacing w:line="360" w:lineRule="auto"/>
        <w:jc w:val="center"/>
        <w:rPr>
          <w:rFonts w:ascii="宋体" w:hAnsi="宋体"/>
        </w:rPr>
      </w:pPr>
      <w:r>
        <w:rPr>
          <w:rFonts w:ascii="宋体" w:hAnsi="宋体"/>
        </w:rPr>
        <w:drawing>
          <wp:inline distT="0" distB="0" distL="0" distR="0">
            <wp:extent cx="2600960" cy="1636395"/>
            <wp:effectExtent l="0" t="0" r="8890" b="1905"/>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11" cstate="print">
                      <a:extLst>
                        <a:ext uri="{28A0092B-C50C-407E-A947-70E740481C1C}">
                          <a14:useLocalDpi xmlns:a14="http://schemas.microsoft.com/office/drawing/2010/main" val="0"/>
                        </a:ext>
                      </a:extLst>
                    </a:blip>
                    <a:srcRect l="4394" t="18719" b="1098"/>
                    <a:stretch>
                      <a:fillRect/>
                    </a:stretch>
                  </pic:blipFill>
                  <pic:spPr>
                    <a:xfrm>
                      <a:off x="0" y="0"/>
                      <a:ext cx="2620569" cy="1648391"/>
                    </a:xfrm>
                    <a:prstGeom prst="rect">
                      <a:avLst/>
                    </a:prstGeom>
                    <a:ln>
                      <a:noFill/>
                    </a:ln>
                  </pic:spPr>
                </pic:pic>
              </a:graphicData>
            </a:graphic>
          </wp:inline>
        </w:drawing>
      </w:r>
      <w:r>
        <w:rPr>
          <w:rFonts w:hint="eastAsia" w:ascii="宋体" w:hAnsi="宋体"/>
        </w:rPr>
        <w:t xml:space="preserve"> </w:t>
      </w:r>
      <w:r>
        <w:rPr>
          <w:rFonts w:ascii="宋体" w:hAnsi="宋体"/>
        </w:rPr>
        <w:drawing>
          <wp:inline distT="0" distB="0" distL="0" distR="0">
            <wp:extent cx="2577465" cy="16440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78002" cy="1644318"/>
                    </a:xfrm>
                    <a:prstGeom prst="rect">
                      <a:avLst/>
                    </a:prstGeom>
                    <a:noFill/>
                  </pic:spPr>
                </pic:pic>
              </a:graphicData>
            </a:graphic>
          </wp:inline>
        </w:drawing>
      </w:r>
    </w:p>
    <w:p>
      <w:pPr>
        <w:spacing w:line="360" w:lineRule="auto"/>
        <w:jc w:val="left"/>
        <w:rPr>
          <w:rFonts w:ascii="宋体" w:hAnsi="宋体"/>
        </w:rPr>
      </w:pPr>
      <w:bookmarkStart w:id="0" w:name="_GoBack"/>
      <w:bookmarkEnd w:id="0"/>
    </w:p>
    <w:sectPr>
      <w:headerReference r:id="rId3" w:type="default"/>
      <w:footerReference r:id="rId4" w:type="default"/>
      <w:pgSz w:w="11906" w:h="16838"/>
      <w:pgMar w:top="1134" w:right="1418" w:bottom="1134" w:left="1418" w:header="794"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ingFangSC-Medium">
    <w:altName w:val="微软雅黑"/>
    <w:panose1 w:val="00000000000000000000"/>
    <w:charset w:val="86"/>
    <w:family w:val="auto"/>
    <w:pitch w:val="default"/>
    <w:sig w:usb0="00000000" w:usb1="00000000" w:usb2="00000017" w:usb3="00000000" w:csb0="00040001" w:csb1="00000000"/>
  </w:font>
  <w:font w:name="SourceHanSansCN-Ligh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1821893"/>
    </w:sdtPr>
    <w:sdtContent>
      <w:sdt>
        <w:sdtPr>
          <w:id w:val="900710528"/>
        </w:sdtPr>
        <w:sdtContent>
          <w:p>
            <w:pPr>
              <w:pStyle w:val="2"/>
              <w:jc w:val="center"/>
            </w:pPr>
            <w:r>
              <w:rPr>
                <w:rFonts w:ascii="宋体" w:hAnsi="宋体"/>
                <w:lang w:val="zh-CN"/>
              </w:rPr>
              <w:t xml:space="preserve"> </w:t>
            </w:r>
            <w:r>
              <w:rPr>
                <w:rFonts w:ascii="宋体" w:hAnsi="宋体"/>
                <w:bCs/>
                <w:sz w:val="13"/>
                <w:szCs w:val="13"/>
              </w:rPr>
              <w:fldChar w:fldCharType="begin"/>
            </w:r>
            <w:r>
              <w:rPr>
                <w:rFonts w:ascii="宋体" w:hAnsi="宋体"/>
                <w:bCs/>
                <w:sz w:val="13"/>
                <w:szCs w:val="13"/>
              </w:rPr>
              <w:instrText xml:space="preserve">PAGE</w:instrText>
            </w:r>
            <w:r>
              <w:rPr>
                <w:rFonts w:ascii="宋体" w:hAnsi="宋体"/>
                <w:bCs/>
                <w:sz w:val="13"/>
                <w:szCs w:val="13"/>
              </w:rPr>
              <w:fldChar w:fldCharType="separate"/>
            </w:r>
            <w:r>
              <w:rPr>
                <w:rFonts w:ascii="宋体" w:hAnsi="宋体"/>
                <w:bCs/>
                <w:sz w:val="13"/>
                <w:szCs w:val="13"/>
              </w:rPr>
              <w:t>1</w:t>
            </w:r>
            <w:r>
              <w:rPr>
                <w:rFonts w:ascii="宋体" w:hAnsi="宋体"/>
                <w:bCs/>
                <w:sz w:val="13"/>
                <w:szCs w:val="13"/>
              </w:rPr>
              <w:fldChar w:fldCharType="end"/>
            </w:r>
            <w:r>
              <w:rPr>
                <w:rFonts w:ascii="宋体" w:hAnsi="宋体"/>
                <w:sz w:val="13"/>
                <w:szCs w:val="13"/>
                <w:lang w:val="zh-CN"/>
              </w:rPr>
              <w:t xml:space="preserve"> / </w:t>
            </w:r>
            <w:r>
              <w:rPr>
                <w:rFonts w:hint="eastAsia" w:ascii="宋体" w:hAnsi="宋体"/>
                <w:sz w:val="13"/>
                <w:szCs w:val="13"/>
                <w:lang w:val="zh-CN"/>
              </w:rPr>
              <w:t>2</w:t>
            </w:r>
          </w:p>
        </w:sdtContent>
      </w:sdt>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rPr>
        <w:u w:val="single"/>
      </w:rPr>
    </w:pPr>
    <w:r>
      <w:rPr>
        <w:rFonts w:ascii="宋体" w:hAnsi="宋体"/>
      </w:rPr>
      <w:drawing>
        <wp:inline distT="0" distB="0" distL="0" distR="0">
          <wp:extent cx="1589405" cy="267335"/>
          <wp:effectExtent l="0" t="0" r="0" b="0"/>
          <wp:docPr id="2" name="图片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89405" cy="2673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7039F9"/>
    <w:multiLevelType w:val="multilevel"/>
    <w:tmpl w:val="707039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4521B8"/>
    <w:rsid w:val="00020CE4"/>
    <w:rsid w:val="00035D34"/>
    <w:rsid w:val="00073D28"/>
    <w:rsid w:val="001624EF"/>
    <w:rsid w:val="001E773B"/>
    <w:rsid w:val="002E3881"/>
    <w:rsid w:val="003D0C98"/>
    <w:rsid w:val="003E230F"/>
    <w:rsid w:val="003E2FA5"/>
    <w:rsid w:val="004022C1"/>
    <w:rsid w:val="00414C83"/>
    <w:rsid w:val="00423F7C"/>
    <w:rsid w:val="004521B8"/>
    <w:rsid w:val="004774DF"/>
    <w:rsid w:val="00492C38"/>
    <w:rsid w:val="004F527F"/>
    <w:rsid w:val="0056206F"/>
    <w:rsid w:val="0059694F"/>
    <w:rsid w:val="006B75A2"/>
    <w:rsid w:val="006F011C"/>
    <w:rsid w:val="007050CD"/>
    <w:rsid w:val="00711C4C"/>
    <w:rsid w:val="00733C86"/>
    <w:rsid w:val="007A1AD7"/>
    <w:rsid w:val="007C4453"/>
    <w:rsid w:val="00831260"/>
    <w:rsid w:val="00867846"/>
    <w:rsid w:val="008B0C8C"/>
    <w:rsid w:val="008E7E1B"/>
    <w:rsid w:val="0093229F"/>
    <w:rsid w:val="00A002C4"/>
    <w:rsid w:val="00A1156E"/>
    <w:rsid w:val="00A13D43"/>
    <w:rsid w:val="00A53C6E"/>
    <w:rsid w:val="00AB3917"/>
    <w:rsid w:val="00AD0224"/>
    <w:rsid w:val="00AD57F3"/>
    <w:rsid w:val="00B04130"/>
    <w:rsid w:val="00B12710"/>
    <w:rsid w:val="00B6765B"/>
    <w:rsid w:val="00B81842"/>
    <w:rsid w:val="00BD1928"/>
    <w:rsid w:val="00C55679"/>
    <w:rsid w:val="00C85659"/>
    <w:rsid w:val="00CD5F70"/>
    <w:rsid w:val="00D225CC"/>
    <w:rsid w:val="00D77DD9"/>
    <w:rsid w:val="00DA7929"/>
    <w:rsid w:val="00DC0982"/>
    <w:rsid w:val="00DD5814"/>
    <w:rsid w:val="00DD59F7"/>
    <w:rsid w:val="00DF41F1"/>
    <w:rsid w:val="00E23A11"/>
    <w:rsid w:val="00E91895"/>
    <w:rsid w:val="00EC22A4"/>
    <w:rsid w:val="00EC7129"/>
    <w:rsid w:val="00F02DEE"/>
    <w:rsid w:val="00F277B6"/>
    <w:rsid w:val="00F85608"/>
    <w:rsid w:val="00FB51FE"/>
    <w:rsid w:val="00FC6993"/>
    <w:rsid w:val="1DA9585E"/>
    <w:rsid w:val="1F4D3C93"/>
    <w:rsid w:val="2CB0321F"/>
    <w:rsid w:val="52C60904"/>
    <w:rsid w:val="6DF76D7E"/>
    <w:rsid w:val="767B0139"/>
    <w:rsid w:val="77B1097A"/>
    <w:rsid w:val="7F17559D"/>
    <w:rsid w:val="7FEFB8C4"/>
    <w:rsid w:val="7FFA3555"/>
    <w:rsid w:val="93BE2674"/>
    <w:rsid w:val="BAFA5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customStyle="1" w:styleId="11">
    <w:name w:val="列出段落1"/>
    <w:basedOn w:val="1"/>
    <w:qFormat/>
    <w:uiPriority w:val="34"/>
    <w:pPr>
      <w:ind w:firstLine="420" w:firstLineChars="200"/>
    </w:pPr>
  </w:style>
  <w:style w:type="character" w:customStyle="1" w:styleId="12">
    <w:name w:val="未处理的提及1"/>
    <w:basedOn w:val="7"/>
    <w:unhideWhenUsed/>
    <w:qFormat/>
    <w:uiPriority w:val="99"/>
    <w:rPr>
      <w:color w:val="605E5C"/>
      <w:shd w:val="clear" w:color="auto" w:fill="E1DFDD"/>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Leapmotor</Company>
  <Pages>3</Pages>
  <Words>214</Words>
  <Characters>1222</Characters>
  <Lines>10</Lines>
  <Paragraphs>2</Paragraphs>
  <TotalTime>69</TotalTime>
  <ScaleCrop>false</ScaleCrop>
  <LinksUpToDate>false</LinksUpToDate>
  <CharactersWithSpaces>1434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2020-10-20T23:43:00Z</dcterms:created>
  <dc:creator>叶波</dc:creator>
  <cp:lastModifiedBy>WPS_1641115581</cp:lastModifiedBy>
  <cp:lastPrinted>2021-04-03T00:35:00Z</cp:lastPrinted>
  <dcterms:modified xsi:type="dcterms:W3CDTF">2023-03-29T02:24:36Z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41954BE42ADD4674BA70595E672C56FE</vt:lpwstr>
  </property>
</Properties>
</file>